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7215" w14:textId="77777777" w:rsidR="003644B6" w:rsidRPr="005527EE" w:rsidRDefault="003644B6" w:rsidP="00A972E0">
      <w:pPr>
        <w:spacing w:line="254" w:lineRule="auto"/>
        <w:jc w:val="center"/>
        <w:rPr>
          <w:rFonts w:ascii="Times New Roman" w:hAnsi="Times New Roman" w:cs="Times New Roman"/>
          <w:b/>
          <w:sz w:val="28"/>
          <w:szCs w:val="28"/>
        </w:rPr>
      </w:pPr>
      <w:r w:rsidRPr="003644B6">
        <w:rPr>
          <w:rFonts w:ascii="Times New Roman" w:hAnsi="Times New Roman" w:cs="Times New Roman"/>
          <w:b/>
          <w:sz w:val="28"/>
          <w:szCs w:val="28"/>
        </w:rPr>
        <w:t>OPEN DOORS OF THE WTO FOR HARD RULES OF FACILITATION FOR INVESTMENT DEVELOPMENT</w:t>
      </w:r>
    </w:p>
    <w:p w14:paraId="30A872C3" w14:textId="77777777" w:rsidR="00A972E0" w:rsidRPr="003644B6" w:rsidRDefault="00A972E0" w:rsidP="00A972E0">
      <w:pPr>
        <w:spacing w:line="254" w:lineRule="auto"/>
        <w:ind w:left="1980"/>
        <w:jc w:val="center"/>
        <w:rPr>
          <w:rFonts w:ascii="Times New Roman" w:hAnsi="Times New Roman" w:cs="Times New Roman"/>
          <w:b/>
          <w:sz w:val="32"/>
        </w:rPr>
      </w:pPr>
    </w:p>
    <w:p w14:paraId="6D0178DA" w14:textId="77777777" w:rsidR="003B209D" w:rsidRDefault="00A972E0" w:rsidP="003B209D">
      <w:pPr>
        <w:tabs>
          <w:tab w:val="left" w:pos="3240"/>
          <w:tab w:val="left" w:pos="4950"/>
        </w:tabs>
        <w:spacing w:line="254" w:lineRule="auto"/>
        <w:ind w:left="4050"/>
        <w:jc w:val="right"/>
        <w:rPr>
          <w:rFonts w:ascii="Times New Roman" w:hAnsi="Times New Roman" w:cs="Times New Roman"/>
          <w:b/>
          <w:sz w:val="24"/>
        </w:rPr>
      </w:pPr>
      <w:proofErr w:type="spellStart"/>
      <w:r w:rsidRPr="004E1296">
        <w:rPr>
          <w:rFonts w:ascii="Times New Roman" w:hAnsi="Times New Roman" w:cs="Times New Roman"/>
          <w:b/>
          <w:sz w:val="24"/>
        </w:rPr>
        <w:t>Kudratov</w:t>
      </w:r>
      <w:proofErr w:type="spellEnd"/>
      <w:r w:rsidRPr="004E1296">
        <w:rPr>
          <w:rFonts w:ascii="Times New Roman" w:hAnsi="Times New Roman" w:cs="Times New Roman"/>
          <w:b/>
          <w:sz w:val="24"/>
        </w:rPr>
        <w:t xml:space="preserve"> </w:t>
      </w:r>
      <w:proofErr w:type="spellStart"/>
      <w:r w:rsidRPr="004E1296">
        <w:rPr>
          <w:rFonts w:ascii="Times New Roman" w:hAnsi="Times New Roman" w:cs="Times New Roman"/>
          <w:b/>
          <w:sz w:val="24"/>
        </w:rPr>
        <w:t>Inomjon</w:t>
      </w:r>
      <w:proofErr w:type="spellEnd"/>
      <w:r w:rsidR="00D00F6B" w:rsidRPr="00D00F6B">
        <w:rPr>
          <w:rFonts w:ascii="Times New Roman" w:hAnsi="Times New Roman" w:cs="Times New Roman"/>
          <w:b/>
          <w:sz w:val="24"/>
        </w:rPr>
        <w:t xml:space="preserve"> </w:t>
      </w:r>
      <w:proofErr w:type="spellStart"/>
      <w:r w:rsidR="00D00F6B" w:rsidRPr="00D00F6B">
        <w:rPr>
          <w:rFonts w:ascii="Times New Roman" w:hAnsi="Times New Roman" w:cs="Times New Roman"/>
          <w:b/>
          <w:sz w:val="24"/>
        </w:rPr>
        <w:t>Nematovich</w:t>
      </w:r>
      <w:proofErr w:type="spellEnd"/>
      <w:r w:rsidRPr="006631AA">
        <w:rPr>
          <w:rFonts w:ascii="Times New Roman" w:hAnsi="Times New Roman" w:cs="Times New Roman"/>
          <w:b/>
          <w:sz w:val="24"/>
        </w:rPr>
        <w:t xml:space="preserve"> </w:t>
      </w:r>
    </w:p>
    <w:p w14:paraId="4947623B" w14:textId="18D2E0A9" w:rsidR="00A972E0" w:rsidRDefault="00A972E0" w:rsidP="003B209D">
      <w:pPr>
        <w:tabs>
          <w:tab w:val="left" w:pos="3240"/>
          <w:tab w:val="left" w:pos="4950"/>
        </w:tabs>
        <w:spacing w:line="254" w:lineRule="auto"/>
        <w:ind w:left="4050"/>
        <w:jc w:val="right"/>
        <w:rPr>
          <w:rFonts w:ascii="Times New Roman" w:hAnsi="Times New Roman" w:cs="Times New Roman"/>
          <w:i/>
          <w:sz w:val="22"/>
        </w:rPr>
      </w:pPr>
      <w:r>
        <w:rPr>
          <w:rFonts w:ascii="Times New Roman" w:hAnsi="Times New Roman" w:cs="Times New Roman"/>
          <w:i/>
          <w:sz w:val="22"/>
        </w:rPr>
        <w:t>Associate Assistant of International Joint Degree Program</w:t>
      </w:r>
      <w:r w:rsidRPr="006631AA">
        <w:rPr>
          <w:rFonts w:ascii="Times New Roman" w:hAnsi="Times New Roman" w:cs="Times New Roman"/>
          <w:i/>
          <w:sz w:val="22"/>
        </w:rPr>
        <w:t xml:space="preserve">, </w:t>
      </w:r>
      <w:r w:rsidRPr="004E1296">
        <w:rPr>
          <w:rFonts w:ascii="Times New Roman" w:hAnsi="Times New Roman" w:cs="Times New Roman"/>
          <w:i/>
          <w:sz w:val="22"/>
        </w:rPr>
        <w:t>Tashkent State University of Economics</w:t>
      </w:r>
      <w:r w:rsidRPr="006631AA">
        <w:rPr>
          <w:rFonts w:ascii="Times New Roman" w:hAnsi="Times New Roman" w:cs="Times New Roman"/>
          <w:i/>
          <w:sz w:val="22"/>
        </w:rPr>
        <w:t xml:space="preserve">, </w:t>
      </w:r>
      <w:r>
        <w:rPr>
          <w:rFonts w:ascii="Times New Roman" w:hAnsi="Times New Roman" w:cs="Times New Roman"/>
          <w:i/>
          <w:sz w:val="22"/>
        </w:rPr>
        <w:t>Islam Karimov 49</w:t>
      </w:r>
      <w:r w:rsidRPr="006631AA">
        <w:rPr>
          <w:rFonts w:ascii="Times New Roman" w:hAnsi="Times New Roman" w:cs="Times New Roman"/>
          <w:i/>
          <w:sz w:val="22"/>
        </w:rPr>
        <w:t xml:space="preserve">, </w:t>
      </w:r>
      <w:r>
        <w:rPr>
          <w:rFonts w:ascii="Times New Roman" w:hAnsi="Times New Roman" w:cs="Times New Roman"/>
          <w:i/>
          <w:sz w:val="22"/>
        </w:rPr>
        <w:t>100003 Tashkent,</w:t>
      </w:r>
      <w:r w:rsidRPr="006631AA">
        <w:rPr>
          <w:rFonts w:ascii="Times New Roman" w:hAnsi="Times New Roman" w:cs="Times New Roman"/>
          <w:i/>
          <w:sz w:val="22"/>
        </w:rPr>
        <w:t xml:space="preserve"> </w:t>
      </w:r>
      <w:r>
        <w:rPr>
          <w:rFonts w:ascii="Times New Roman" w:hAnsi="Times New Roman" w:cs="Times New Roman"/>
          <w:i/>
          <w:sz w:val="22"/>
        </w:rPr>
        <w:t>Uzbekistan</w:t>
      </w:r>
    </w:p>
    <w:p w14:paraId="52903E89" w14:textId="77777777" w:rsidR="00A972E0" w:rsidRDefault="00A972E0" w:rsidP="003B209D">
      <w:pPr>
        <w:tabs>
          <w:tab w:val="left" w:pos="4950"/>
        </w:tabs>
        <w:spacing w:line="254" w:lineRule="auto"/>
        <w:ind w:left="4050"/>
        <w:jc w:val="right"/>
        <w:rPr>
          <w:rFonts w:ascii="Times New Roman" w:hAnsi="Times New Roman" w:cs="Times New Roman"/>
          <w:i/>
          <w:sz w:val="22"/>
        </w:rPr>
      </w:pPr>
    </w:p>
    <w:p w14:paraId="7BD46466" w14:textId="77777777" w:rsidR="003B209D" w:rsidRDefault="00A972E0" w:rsidP="003B209D">
      <w:pPr>
        <w:tabs>
          <w:tab w:val="left" w:pos="4950"/>
        </w:tabs>
        <w:spacing w:line="254" w:lineRule="auto"/>
        <w:ind w:left="4050"/>
        <w:jc w:val="right"/>
        <w:rPr>
          <w:rFonts w:ascii="Times New Roman" w:hAnsi="Times New Roman" w:cs="Times New Roman"/>
          <w:b/>
          <w:sz w:val="24"/>
        </w:rPr>
      </w:pPr>
      <w:proofErr w:type="spellStart"/>
      <w:r w:rsidRPr="00206CC5">
        <w:rPr>
          <w:rFonts w:ascii="Times New Roman" w:hAnsi="Times New Roman" w:cs="Times New Roman"/>
          <w:b/>
          <w:sz w:val="24"/>
        </w:rPr>
        <w:t>Xasanov</w:t>
      </w:r>
      <w:proofErr w:type="spellEnd"/>
      <w:r w:rsidRPr="00206CC5">
        <w:rPr>
          <w:rFonts w:ascii="Times New Roman" w:hAnsi="Times New Roman" w:cs="Times New Roman"/>
          <w:b/>
          <w:sz w:val="24"/>
        </w:rPr>
        <w:t xml:space="preserve"> </w:t>
      </w:r>
      <w:proofErr w:type="spellStart"/>
      <w:r w:rsidRPr="00206CC5">
        <w:rPr>
          <w:rFonts w:ascii="Times New Roman" w:hAnsi="Times New Roman" w:cs="Times New Roman"/>
          <w:b/>
          <w:sz w:val="24"/>
        </w:rPr>
        <w:t>Sa</w:t>
      </w:r>
      <w:r>
        <w:rPr>
          <w:rFonts w:ascii="Times New Roman" w:hAnsi="Times New Roman" w:cs="Times New Roman"/>
          <w:b/>
          <w:sz w:val="24"/>
        </w:rPr>
        <w:t>r</w:t>
      </w:r>
      <w:r w:rsidRPr="00206CC5">
        <w:rPr>
          <w:rFonts w:ascii="Times New Roman" w:hAnsi="Times New Roman" w:cs="Times New Roman"/>
          <w:b/>
          <w:sz w:val="24"/>
        </w:rPr>
        <w:t>var</w:t>
      </w:r>
      <w:proofErr w:type="spellEnd"/>
      <w:r w:rsidRPr="00206CC5">
        <w:rPr>
          <w:rFonts w:ascii="Times New Roman" w:hAnsi="Times New Roman" w:cs="Times New Roman"/>
          <w:b/>
          <w:sz w:val="24"/>
        </w:rPr>
        <w:t xml:space="preserve"> </w:t>
      </w:r>
      <w:proofErr w:type="spellStart"/>
      <w:r w:rsidR="00FA5B2D">
        <w:rPr>
          <w:rFonts w:ascii="Times New Roman" w:hAnsi="Times New Roman" w:cs="Times New Roman"/>
          <w:b/>
          <w:sz w:val="24"/>
        </w:rPr>
        <w:t>Ulug’bek</w:t>
      </w:r>
      <w:proofErr w:type="spellEnd"/>
      <w:r w:rsidR="00FA5B2D">
        <w:rPr>
          <w:rFonts w:ascii="Times New Roman" w:hAnsi="Times New Roman" w:cs="Times New Roman"/>
          <w:b/>
          <w:sz w:val="24"/>
        </w:rPr>
        <w:t xml:space="preserve"> </w:t>
      </w:r>
      <w:proofErr w:type="spellStart"/>
      <w:r w:rsidR="00FA5B2D">
        <w:rPr>
          <w:rFonts w:ascii="Times New Roman" w:hAnsi="Times New Roman" w:cs="Times New Roman"/>
          <w:b/>
          <w:sz w:val="24"/>
        </w:rPr>
        <w:t>O’</w:t>
      </w:r>
      <w:r w:rsidR="00FA5B2D" w:rsidRPr="00206CC5">
        <w:rPr>
          <w:rFonts w:ascii="Times New Roman" w:hAnsi="Times New Roman" w:cs="Times New Roman"/>
          <w:b/>
          <w:sz w:val="24"/>
        </w:rPr>
        <w:t>gli</w:t>
      </w:r>
      <w:proofErr w:type="spellEnd"/>
      <w:r w:rsidR="00FA5B2D" w:rsidRPr="00206CC5">
        <w:rPr>
          <w:rFonts w:ascii="Times New Roman" w:hAnsi="Times New Roman" w:cs="Times New Roman"/>
          <w:b/>
          <w:sz w:val="24"/>
        </w:rPr>
        <w:t xml:space="preserve"> </w:t>
      </w:r>
    </w:p>
    <w:p w14:paraId="02BBE417" w14:textId="235E8300" w:rsidR="00A972E0" w:rsidRPr="00206CC5" w:rsidRDefault="00A972E0" w:rsidP="003B209D">
      <w:pPr>
        <w:tabs>
          <w:tab w:val="left" w:pos="4950"/>
        </w:tabs>
        <w:spacing w:line="254" w:lineRule="auto"/>
        <w:ind w:left="4050"/>
        <w:jc w:val="right"/>
        <w:rPr>
          <w:rFonts w:ascii="Times New Roman" w:hAnsi="Times New Roman" w:cs="Times New Roman"/>
          <w:i/>
          <w:sz w:val="22"/>
          <w:szCs w:val="22"/>
        </w:rPr>
      </w:pPr>
      <w:r w:rsidRPr="00206CC5">
        <w:rPr>
          <w:rFonts w:ascii="Times New Roman" w:hAnsi="Times New Roman" w:cs="Times New Roman"/>
          <w:i/>
          <w:sz w:val="22"/>
          <w:szCs w:val="22"/>
        </w:rPr>
        <w:t>Head of personnel department</w:t>
      </w:r>
      <w:r w:rsidRPr="006631AA">
        <w:rPr>
          <w:rFonts w:ascii="Times New Roman" w:hAnsi="Times New Roman" w:cs="Times New Roman"/>
          <w:i/>
          <w:sz w:val="22"/>
          <w:szCs w:val="22"/>
        </w:rPr>
        <w:t xml:space="preserve"> </w:t>
      </w:r>
      <w:r>
        <w:rPr>
          <w:rFonts w:ascii="Times New Roman" w:hAnsi="Times New Roman" w:cs="Times New Roman"/>
          <w:i/>
          <w:sz w:val="22"/>
          <w:szCs w:val="22"/>
        </w:rPr>
        <w:t xml:space="preserve">of </w:t>
      </w:r>
      <w:r w:rsidRPr="00206CC5">
        <w:rPr>
          <w:rFonts w:ascii="Times New Roman" w:hAnsi="Times New Roman" w:cs="Times New Roman"/>
          <w:i/>
          <w:sz w:val="22"/>
          <w:szCs w:val="22"/>
        </w:rPr>
        <w:t>Tashkent State University of Economics</w:t>
      </w:r>
      <w:r>
        <w:rPr>
          <w:rFonts w:ascii="Times New Roman" w:hAnsi="Times New Roman" w:cs="Times New Roman"/>
          <w:i/>
          <w:sz w:val="22"/>
          <w:szCs w:val="22"/>
        </w:rPr>
        <w:t xml:space="preserve">, </w:t>
      </w:r>
      <w:r w:rsidRPr="00206CC5">
        <w:rPr>
          <w:rFonts w:ascii="Times New Roman" w:hAnsi="Times New Roman" w:cs="Times New Roman"/>
          <w:i/>
          <w:sz w:val="22"/>
          <w:szCs w:val="22"/>
        </w:rPr>
        <w:t>Islam Karimov 49</w:t>
      </w:r>
      <w:r>
        <w:rPr>
          <w:rFonts w:ascii="Times New Roman" w:hAnsi="Times New Roman" w:cs="Times New Roman"/>
          <w:i/>
          <w:sz w:val="22"/>
          <w:szCs w:val="22"/>
        </w:rPr>
        <w:t xml:space="preserve">, </w:t>
      </w:r>
      <w:r w:rsidRPr="00206CC5">
        <w:rPr>
          <w:rFonts w:ascii="Times New Roman" w:hAnsi="Times New Roman" w:cs="Times New Roman"/>
          <w:i/>
          <w:sz w:val="22"/>
          <w:szCs w:val="22"/>
        </w:rPr>
        <w:t>100003 Tashkent, Uzbekistan</w:t>
      </w:r>
    </w:p>
    <w:p w14:paraId="3F85A6CF" w14:textId="77777777" w:rsidR="003B209D" w:rsidRDefault="00C3634C" w:rsidP="003B209D">
      <w:pPr>
        <w:tabs>
          <w:tab w:val="left" w:pos="4950"/>
        </w:tabs>
        <w:spacing w:line="254" w:lineRule="auto"/>
        <w:ind w:left="4050"/>
        <w:jc w:val="right"/>
        <w:rPr>
          <w:rFonts w:ascii="Times New Roman" w:hAnsi="Times New Roman" w:cs="Times New Roman"/>
          <w:i/>
          <w:szCs w:val="24"/>
          <w:shd w:val="clear" w:color="auto" w:fill="FFFFFF"/>
        </w:rPr>
      </w:pPr>
      <w:hyperlink r:id="rId7" w:anchor="0000-0002-3123-6169" w:history="1">
        <w:r w:rsidR="00A972E0" w:rsidRPr="009D524B">
          <w:rPr>
            <w:rStyle w:val="a3"/>
            <w:rFonts w:ascii="Times New Roman" w:hAnsi="Times New Roman" w:cs="Times New Roman"/>
            <w:i/>
            <w:szCs w:val="24"/>
            <w:shd w:val="clear" w:color="auto" w:fill="FFFFFF"/>
          </w:rPr>
          <w:t>https://orcid.org/0000-0002-3123-6169</w:t>
        </w:r>
      </w:hyperlink>
      <w:r w:rsidR="00A972E0">
        <w:rPr>
          <w:rFonts w:ascii="Times New Roman" w:hAnsi="Times New Roman" w:cs="Times New Roman"/>
          <w:i/>
          <w:szCs w:val="24"/>
          <w:shd w:val="clear" w:color="auto" w:fill="FFFFFF"/>
        </w:rPr>
        <w:t xml:space="preserve">, </w:t>
      </w:r>
    </w:p>
    <w:p w14:paraId="7D2A036B" w14:textId="037F239B" w:rsidR="00A972E0" w:rsidRDefault="00A972E0" w:rsidP="003B209D">
      <w:pPr>
        <w:tabs>
          <w:tab w:val="left" w:pos="4950"/>
        </w:tabs>
        <w:spacing w:line="254" w:lineRule="auto"/>
        <w:ind w:left="4050"/>
        <w:jc w:val="right"/>
        <w:rPr>
          <w:rFonts w:ascii="Times New Roman" w:hAnsi="Times New Roman" w:cs="Times New Roman"/>
          <w:i/>
          <w:szCs w:val="24"/>
          <w:shd w:val="clear" w:color="auto" w:fill="FFFFFF"/>
        </w:rPr>
      </w:pPr>
      <w:r>
        <w:rPr>
          <w:rFonts w:ascii="Times New Roman" w:hAnsi="Times New Roman" w:cs="Times New Roman"/>
          <w:i/>
          <w:szCs w:val="24"/>
          <w:shd w:val="clear" w:color="auto" w:fill="FFFFFF"/>
        </w:rPr>
        <w:t xml:space="preserve">email: </w:t>
      </w:r>
      <w:hyperlink r:id="rId8" w:history="1">
        <w:r w:rsidRPr="009D524B">
          <w:rPr>
            <w:rStyle w:val="a3"/>
            <w:rFonts w:ascii="Times New Roman" w:hAnsi="Times New Roman" w:cs="Times New Roman"/>
            <w:i/>
            <w:szCs w:val="24"/>
            <w:shd w:val="clear" w:color="auto" w:fill="FFFFFF"/>
          </w:rPr>
          <w:t>sarvar_6707@tsue.uz</w:t>
        </w:r>
      </w:hyperlink>
      <w:r>
        <w:rPr>
          <w:rFonts w:ascii="Times New Roman" w:hAnsi="Times New Roman" w:cs="Times New Roman"/>
          <w:i/>
          <w:szCs w:val="24"/>
          <w:shd w:val="clear" w:color="auto" w:fill="FFFFFF"/>
        </w:rPr>
        <w:t xml:space="preserve"> </w:t>
      </w:r>
    </w:p>
    <w:p w14:paraId="4FD22180" w14:textId="77777777" w:rsidR="00A972E0" w:rsidRDefault="00A972E0" w:rsidP="003B209D">
      <w:pPr>
        <w:spacing w:line="254" w:lineRule="auto"/>
        <w:ind w:left="2430"/>
        <w:jc w:val="right"/>
        <w:rPr>
          <w:rFonts w:ascii="Times New Roman" w:hAnsi="Times New Roman" w:cs="Times New Roman"/>
          <w:i/>
          <w:szCs w:val="24"/>
          <w:shd w:val="clear" w:color="auto" w:fill="FFFFFF"/>
        </w:rPr>
      </w:pPr>
    </w:p>
    <w:p w14:paraId="5AB8ED94" w14:textId="77777777" w:rsidR="003B209D" w:rsidRDefault="00A972E0" w:rsidP="003B209D">
      <w:pPr>
        <w:spacing w:line="254" w:lineRule="auto"/>
        <w:ind w:left="4050"/>
        <w:jc w:val="right"/>
        <w:rPr>
          <w:rFonts w:ascii="Times New Roman" w:hAnsi="Times New Roman" w:cs="Times New Roman"/>
          <w:b/>
          <w:sz w:val="24"/>
        </w:rPr>
      </w:pPr>
      <w:proofErr w:type="spellStart"/>
      <w:r>
        <w:rPr>
          <w:rFonts w:ascii="Times New Roman" w:hAnsi="Times New Roman" w:cs="Times New Roman"/>
          <w:b/>
          <w:sz w:val="24"/>
        </w:rPr>
        <w:t>Abduraimova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Nigora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Rajabovna</w:t>
      </w:r>
      <w:proofErr w:type="spellEnd"/>
    </w:p>
    <w:p w14:paraId="4B5BFF32" w14:textId="143F47FA" w:rsidR="00A972E0" w:rsidRPr="006631AA" w:rsidRDefault="00A972E0" w:rsidP="003B209D">
      <w:pPr>
        <w:spacing w:line="254" w:lineRule="auto"/>
        <w:ind w:left="4050"/>
        <w:jc w:val="right"/>
        <w:rPr>
          <w:rFonts w:ascii="Times New Roman" w:hAnsi="Times New Roman" w:cs="Times New Roman"/>
          <w:b/>
          <w:sz w:val="24"/>
        </w:rPr>
      </w:pPr>
      <w:r>
        <w:rPr>
          <w:rFonts w:ascii="Times New Roman" w:hAnsi="Times New Roman" w:cs="Times New Roman"/>
          <w:i/>
          <w:sz w:val="22"/>
        </w:rPr>
        <w:t>Associate Assistant of International Joint Degree Program</w:t>
      </w:r>
      <w:r>
        <w:rPr>
          <w:rFonts w:ascii="Times New Roman" w:hAnsi="Times New Roman" w:cs="Times New Roman"/>
          <w:b/>
          <w:sz w:val="24"/>
        </w:rPr>
        <w:t xml:space="preserve">, </w:t>
      </w:r>
      <w:r w:rsidRPr="004E1296">
        <w:rPr>
          <w:rFonts w:ascii="Times New Roman" w:hAnsi="Times New Roman" w:cs="Times New Roman"/>
          <w:i/>
          <w:sz w:val="22"/>
        </w:rPr>
        <w:t>Tashkent State University of Economics</w:t>
      </w:r>
      <w:r>
        <w:rPr>
          <w:rFonts w:ascii="Times New Roman" w:hAnsi="Times New Roman" w:cs="Times New Roman"/>
          <w:b/>
          <w:sz w:val="24"/>
        </w:rPr>
        <w:t xml:space="preserve">, </w:t>
      </w:r>
      <w:r>
        <w:rPr>
          <w:rFonts w:ascii="Times New Roman" w:hAnsi="Times New Roman" w:cs="Times New Roman"/>
          <w:i/>
          <w:sz w:val="22"/>
        </w:rPr>
        <w:t>Islam Karimov 49</w:t>
      </w:r>
      <w:r>
        <w:rPr>
          <w:rFonts w:ascii="Times New Roman" w:hAnsi="Times New Roman" w:cs="Times New Roman"/>
          <w:b/>
          <w:sz w:val="24"/>
        </w:rPr>
        <w:t xml:space="preserve">, </w:t>
      </w:r>
      <w:r>
        <w:rPr>
          <w:rFonts w:ascii="Times New Roman" w:hAnsi="Times New Roman" w:cs="Times New Roman"/>
          <w:i/>
          <w:sz w:val="22"/>
        </w:rPr>
        <w:t>100003 Tashkent, Uzbekistan</w:t>
      </w:r>
    </w:p>
    <w:p w14:paraId="2359F6E2" w14:textId="77777777" w:rsidR="00A972E0" w:rsidRDefault="00A972E0" w:rsidP="00A972E0">
      <w:pPr>
        <w:spacing w:line="0" w:lineRule="atLeast"/>
        <w:ind w:left="2430"/>
        <w:rPr>
          <w:rFonts w:ascii="Times New Roman" w:hAnsi="Times New Roman" w:cs="Times New Roman"/>
          <w:b/>
          <w:sz w:val="24"/>
        </w:rPr>
      </w:pPr>
    </w:p>
    <w:p w14:paraId="4D610E26" w14:textId="77777777" w:rsidR="00A972E0" w:rsidRPr="006631AA" w:rsidRDefault="00A972E0" w:rsidP="00A972E0">
      <w:pPr>
        <w:ind w:firstLine="990"/>
        <w:jc w:val="both"/>
        <w:rPr>
          <w:rFonts w:ascii="Times New Roman" w:hAnsi="Times New Roman" w:cs="Times New Roman"/>
          <w:i/>
          <w:sz w:val="24"/>
          <w:szCs w:val="24"/>
        </w:rPr>
      </w:pPr>
      <w:r w:rsidRPr="006631AA">
        <w:rPr>
          <w:rFonts w:ascii="Times New Roman" w:hAnsi="Times New Roman" w:cs="Times New Roman"/>
          <w:b/>
          <w:i/>
          <w:sz w:val="24"/>
          <w:szCs w:val="24"/>
        </w:rPr>
        <w:t xml:space="preserve">Abstract: </w:t>
      </w:r>
      <w:r w:rsidRPr="006631AA">
        <w:rPr>
          <w:rFonts w:ascii="Times New Roman" w:hAnsi="Times New Roman" w:cs="Times New Roman"/>
          <w:i/>
          <w:sz w:val="24"/>
          <w:szCs w:val="24"/>
        </w:rPr>
        <w:t>The World Trade Organization (WTO) is currently holding its 11th Ministerial Conference (MC11) in Buenos Aires (December 10–13, 2017).</w:t>
      </w:r>
      <w:r w:rsidRPr="006631AA">
        <w:rPr>
          <w:rStyle w:val="a6"/>
          <w:i/>
          <w:sz w:val="24"/>
          <w:szCs w:val="24"/>
        </w:rPr>
        <w:footnoteReference w:id="1"/>
      </w:r>
      <w:r w:rsidRPr="006631AA">
        <w:rPr>
          <w:rFonts w:ascii="Times New Roman" w:hAnsi="Times New Roman" w:cs="Times New Roman"/>
          <w:i/>
          <w:sz w:val="24"/>
          <w:szCs w:val="24"/>
        </w:rPr>
        <w:t>A number of countries led by the Friends of Investment for Development (FIFD)</w:t>
      </w:r>
      <w:r w:rsidRPr="006631AA">
        <w:rPr>
          <w:rStyle w:val="a6"/>
          <w:i/>
          <w:sz w:val="24"/>
          <w:szCs w:val="24"/>
        </w:rPr>
        <w:footnoteReference w:id="2"/>
      </w:r>
      <w:r w:rsidRPr="006631AA">
        <w:rPr>
          <w:rFonts w:ascii="Times New Roman" w:hAnsi="Times New Roman" w:cs="Times New Roman"/>
          <w:i/>
          <w:sz w:val="24"/>
          <w:szCs w:val="24"/>
        </w:rPr>
        <w:t xml:space="preserve"> have proposed that Ministers agree in MC11 to “begin structured discussions with the aim of developing a multilateral framework on investment facilitation.”</w:t>
      </w:r>
      <w:r w:rsidRPr="006631AA">
        <w:rPr>
          <w:rStyle w:val="a6"/>
          <w:i/>
          <w:sz w:val="24"/>
          <w:szCs w:val="24"/>
        </w:rPr>
        <w:footnoteReference w:id="3"/>
      </w:r>
      <w:r w:rsidRPr="006631AA">
        <w:rPr>
          <w:rFonts w:ascii="Times New Roman" w:hAnsi="Times New Roman" w:cs="Times New Roman"/>
          <w:i/>
          <w:sz w:val="24"/>
          <w:szCs w:val="24"/>
        </w:rPr>
        <w:t xml:space="preserve"> This note rebuts the background note prepared by the FIFD that is being circulated at the WTO MC11 and draws attention the attention of delegates to the risks—particularly for developing countries—behind this push to bring the topic of investment facilitation (IF) onto the WTO agenda.</w:t>
      </w:r>
    </w:p>
    <w:p w14:paraId="1F689DAD" w14:textId="77777777" w:rsidR="00A972E0" w:rsidRPr="006631AA" w:rsidRDefault="00A972E0" w:rsidP="00A972E0">
      <w:pPr>
        <w:ind w:right="20" w:firstLine="990"/>
        <w:jc w:val="both"/>
        <w:rPr>
          <w:rFonts w:ascii="Times New Roman" w:hAnsi="Times New Roman" w:cs="Times New Roman"/>
          <w:i/>
          <w:sz w:val="24"/>
          <w:szCs w:val="24"/>
        </w:rPr>
      </w:pPr>
      <w:r w:rsidRPr="006631AA">
        <w:rPr>
          <w:rFonts w:ascii="Times New Roman" w:hAnsi="Times New Roman" w:cs="Times New Roman"/>
          <w:b/>
          <w:i/>
          <w:sz w:val="24"/>
          <w:szCs w:val="24"/>
        </w:rPr>
        <w:t xml:space="preserve">Keywords: </w:t>
      </w:r>
      <w:r w:rsidRPr="006631AA">
        <w:rPr>
          <w:rFonts w:ascii="Times New Roman" w:hAnsi="Times New Roman" w:cs="Times New Roman"/>
          <w:i/>
          <w:sz w:val="24"/>
          <w:szCs w:val="24"/>
        </w:rPr>
        <w:t xml:space="preserve">WTO, investing, trade, facilitation, developing, economic development. </w:t>
      </w:r>
    </w:p>
    <w:p w14:paraId="0B75AF79" w14:textId="77777777" w:rsidR="00A972E0" w:rsidRPr="006631AA" w:rsidRDefault="00A972E0" w:rsidP="00A972E0">
      <w:pPr>
        <w:ind w:right="-243" w:firstLine="990"/>
        <w:jc w:val="both"/>
        <w:rPr>
          <w:rFonts w:ascii="Times New Roman" w:eastAsia="Cambria" w:hAnsi="Times New Roman" w:cs="Times New Roman"/>
          <w:b/>
          <w:sz w:val="24"/>
          <w:szCs w:val="24"/>
        </w:rPr>
      </w:pPr>
    </w:p>
    <w:p w14:paraId="3CD95C38" w14:textId="77777777" w:rsidR="003853D8" w:rsidRDefault="003853D8"/>
    <w:p w14:paraId="79B3B113" w14:textId="77777777" w:rsidR="00A972E0" w:rsidRDefault="00A972E0"/>
    <w:p w14:paraId="7D9D12D8" w14:textId="77777777" w:rsidR="00A972E0" w:rsidRPr="004E1296" w:rsidRDefault="00A972E0" w:rsidP="00A972E0">
      <w:pPr>
        <w:spacing w:line="360" w:lineRule="auto"/>
        <w:ind w:right="-243" w:firstLine="990"/>
        <w:rPr>
          <w:rFonts w:ascii="Times New Roman" w:eastAsia="Cambria" w:hAnsi="Times New Roman" w:cs="Times New Roman"/>
          <w:b/>
          <w:sz w:val="28"/>
        </w:rPr>
      </w:pPr>
      <w:r w:rsidRPr="004E1296">
        <w:rPr>
          <w:rFonts w:ascii="Times New Roman" w:eastAsia="Cambria" w:hAnsi="Times New Roman" w:cs="Times New Roman"/>
          <w:b/>
          <w:sz w:val="28"/>
        </w:rPr>
        <w:t>1. INTRODUCTION</w:t>
      </w:r>
    </w:p>
    <w:p w14:paraId="0DE8ECDF" w14:textId="77777777" w:rsidR="00A972E0" w:rsidRPr="004E1296" w:rsidRDefault="00A972E0" w:rsidP="00A972E0">
      <w:pPr>
        <w:spacing w:line="360" w:lineRule="auto"/>
        <w:ind w:firstLine="990"/>
        <w:rPr>
          <w:rFonts w:ascii="Times New Roman" w:hAnsi="Times New Roman" w:cs="Times New Roman"/>
          <w:b/>
          <w:sz w:val="24"/>
          <w:szCs w:val="24"/>
        </w:rPr>
      </w:pPr>
      <w:r w:rsidRPr="004E1296">
        <w:rPr>
          <w:rFonts w:ascii="Times New Roman" w:hAnsi="Times New Roman" w:cs="Times New Roman"/>
          <w:b/>
          <w:sz w:val="24"/>
          <w:szCs w:val="24"/>
        </w:rPr>
        <w:t>Overview of the risks of bringing investment into the WTO</w:t>
      </w:r>
    </w:p>
    <w:p w14:paraId="3BD3D8FD" w14:textId="77777777" w:rsidR="00A972E0" w:rsidRPr="004E1296" w:rsidRDefault="00A972E0" w:rsidP="00A972E0">
      <w:pPr>
        <w:spacing w:line="360" w:lineRule="auto"/>
        <w:ind w:firstLine="990"/>
        <w:jc w:val="both"/>
        <w:rPr>
          <w:rFonts w:ascii="Times New Roman" w:hAnsi="Times New Roman" w:cs="Times New Roman"/>
          <w:sz w:val="24"/>
          <w:szCs w:val="24"/>
        </w:rPr>
      </w:pPr>
      <w:r w:rsidRPr="004E1296">
        <w:rPr>
          <w:rFonts w:ascii="Times New Roman" w:hAnsi="Times New Roman" w:cs="Times New Roman"/>
          <w:sz w:val="24"/>
          <w:szCs w:val="24"/>
        </w:rPr>
        <w:t xml:space="preserve">Beyond the legal issue arising from the fact that the WTO’s mandate covers trade, but not investment, bringing investment facilitation into the WTO will likely work against the interests of developing countries, for at least four reasons: </w:t>
      </w:r>
    </w:p>
    <w:p w14:paraId="493841AB" w14:textId="77777777" w:rsidR="00A972E0" w:rsidRPr="004E1296" w:rsidRDefault="00A972E0" w:rsidP="00A972E0">
      <w:pPr>
        <w:pStyle w:val="a7"/>
        <w:widowControl w:val="0"/>
        <w:numPr>
          <w:ilvl w:val="0"/>
          <w:numId w:val="1"/>
        </w:numPr>
        <w:tabs>
          <w:tab w:val="left" w:pos="1260"/>
        </w:tabs>
        <w:spacing w:line="360" w:lineRule="auto"/>
        <w:ind w:left="0" w:firstLine="994"/>
        <w:jc w:val="both"/>
        <w:rPr>
          <w:rFonts w:ascii="Times New Roman" w:hAnsi="Times New Roman"/>
          <w:sz w:val="24"/>
          <w:szCs w:val="24"/>
        </w:rPr>
      </w:pPr>
      <w:r w:rsidRPr="004E1296">
        <w:rPr>
          <w:rFonts w:ascii="Times New Roman" w:hAnsi="Times New Roman"/>
          <w:sz w:val="24"/>
          <w:szCs w:val="24"/>
        </w:rPr>
        <w:t xml:space="preserve">Once investment facilitation is brought into the WTO, other investment-related issues could be brought in at a later stage. Proponents of the Draft Ministerial Declaration aimed at bringing investment facilitation discussions into the WTO state that “these discussions shall </w:t>
      </w:r>
      <w:r w:rsidRPr="004E1296">
        <w:rPr>
          <w:rFonts w:ascii="Times New Roman" w:hAnsi="Times New Roman"/>
          <w:sz w:val="24"/>
          <w:szCs w:val="24"/>
        </w:rPr>
        <w:lastRenderedPageBreak/>
        <w:t>not address market access, investment protection, and investor–state dispute settlement.”</w:t>
      </w:r>
      <w:r w:rsidRPr="00071825">
        <w:rPr>
          <w:rStyle w:val="a6"/>
        </w:rPr>
        <w:footnoteReference w:id="4"/>
      </w:r>
      <w:r w:rsidRPr="004E1296">
        <w:rPr>
          <w:rFonts w:ascii="Times New Roman" w:hAnsi="Times New Roman"/>
          <w:sz w:val="24"/>
          <w:szCs w:val="24"/>
        </w:rPr>
        <w:t xml:space="preserve"> However, other proposals have been circulated, including one by Russia, which says that “rules should include elements for their future development and expansion to regulating market access and treatment for investments.” </w:t>
      </w:r>
      <w:r w:rsidRPr="00071825">
        <w:rPr>
          <w:rStyle w:val="a6"/>
        </w:rPr>
        <w:footnoteReference w:id="5"/>
      </w:r>
      <w:r w:rsidRPr="004E1296">
        <w:rPr>
          <w:rFonts w:ascii="Times New Roman" w:hAnsi="Times New Roman"/>
          <w:sz w:val="24"/>
          <w:szCs w:val="24"/>
        </w:rPr>
        <w:t>“Treatment for investments” could include investor protection such as fair and equitable treatment and expropriation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{"citationItems":[{"id":"ITEM-1","itemData":{"DOI":"10.17512/znpcz.2021.2.05","abstract":"The education system in Indonesia has two main sub-systems, one under the management of the Ministry of Education and Culture (MoEC), and madrasah education and religious education under the management of the Ministry of Religious Affairs (MoRA). Out of approximately 233,517 state schools and madrasah, about 82% are state schools and the remaining 18% are madrasah; and out of 49,402,000 students from these institutions, 87% are registered in-state schools and other 13% are registered in madrasah. Indonesian laws and regulations require state schools and madrasah to be treated equally. Moreover, madrasah teaches the same national curriculum in addition to Islamic religious subjects regulated by MoRA. The author tried to define the current circumstance of Islamic education in Indonesia, the academic issues that the government faces and sought possible solutions for them through field surveys and data analysis methods used throughout the investigation. The found data show that improper infrastructure of government contribution towards public education including religious education, and limited quota in pedagogical universities lead to a shortage of teachers in rural areas. The government of Indonesia needs further educational reforms in the area of public education, teacher training, and re-training -qualified teachers, and school fees challenge the national education system in the country.","author":[{"dropping-particle":"","family":"Shaturaev","given":"Jakhongir","non-dropping-particle":"","parse-names":false,"suffix":""}],"container-title":"Research Reviews of Czestochowska University of Technology Management","id":"ITEM-1","issue":"42","issued":{"date-parts":[["2021"]]},"page":"57-65","title":"( MADRASAH ) EDUCATION IN INDONESIA","type":"article-journal","volume":"42"},"uris":["http://www.mendeley.com/documents/?uuid=49825c06-72eb-4f2d-abb3-129dd27e84a8","http://www.mendeley.com/documents/?uuid=132f1449-1358-494e-bacd-e7a217055ac0"]}],"mendeley":{"formattedCitation":"(J. Shaturaev, 2021a)","plainTextFormattedCitation":"(J. Shaturaev, 2021a)","previouslyFormattedCitation":"(J. Shaturaev, 2021a)"},"properties":{"noteIndex":0},"schema":"https://github.com/citation-style-language/schema/raw/master/csl-citation.json"}</w:instrText>
      </w:r>
      <w:r>
        <w:rPr>
          <w:rFonts w:ascii="Times New Roman" w:hAnsi="Times New Roman"/>
          <w:sz w:val="24"/>
          <w:szCs w:val="24"/>
        </w:rPr>
        <w:fldChar w:fldCharType="separate"/>
      </w:r>
      <w:r w:rsidRPr="00FE7C64">
        <w:rPr>
          <w:rFonts w:ascii="Times New Roman" w:hAnsi="Times New Roman"/>
          <w:noProof/>
          <w:sz w:val="24"/>
          <w:szCs w:val="24"/>
        </w:rPr>
        <w:t>(J. Shaturaev, 2021a)</w:t>
      </w:r>
      <w:r>
        <w:rPr>
          <w:rFonts w:ascii="Times New Roman" w:hAnsi="Times New Roman"/>
          <w:sz w:val="24"/>
          <w:szCs w:val="24"/>
        </w:rPr>
        <w:fldChar w:fldCharType="end"/>
      </w:r>
      <w:r w:rsidRPr="004E1296">
        <w:rPr>
          <w:rFonts w:ascii="Times New Roman" w:hAnsi="Times New Roman"/>
          <w:sz w:val="24"/>
          <w:szCs w:val="24"/>
        </w:rPr>
        <w:t>. By allowing investment facilitation to be brought into the WTO now, developing countries would open the doors of the WTO to investment issues more broadly—and thus open themselves to a high risk of being pulled into broader negotiations on investment in the future.</w:t>
      </w:r>
    </w:p>
    <w:p w14:paraId="0E3C1C35" w14:textId="77777777" w:rsidR="00A972E0" w:rsidRPr="004E1296" w:rsidRDefault="00A972E0" w:rsidP="00A972E0">
      <w:pPr>
        <w:pStyle w:val="a7"/>
        <w:widowControl w:val="0"/>
        <w:numPr>
          <w:ilvl w:val="0"/>
          <w:numId w:val="1"/>
        </w:numPr>
        <w:tabs>
          <w:tab w:val="left" w:pos="1260"/>
        </w:tabs>
        <w:spacing w:line="360" w:lineRule="auto"/>
        <w:ind w:left="0" w:firstLine="994"/>
        <w:jc w:val="both"/>
        <w:rPr>
          <w:rFonts w:ascii="Times New Roman" w:hAnsi="Times New Roman"/>
          <w:b/>
          <w:sz w:val="24"/>
          <w:szCs w:val="24"/>
        </w:rPr>
      </w:pPr>
      <w:r w:rsidRPr="004E1296">
        <w:rPr>
          <w:rFonts w:ascii="Times New Roman" w:hAnsi="Times New Roman"/>
          <w:sz w:val="24"/>
          <w:szCs w:val="24"/>
        </w:rPr>
        <w:t>Investment facilitation should be about cooperative approaches and efforts, but the WTO focuses on binding disciplines and dispute settlement. Taking the investment facilitation approach to the WTO could result in placing overly burdensome obligations on developing countries (least-developed countries in particular). Developing countries do not need to commit to international obligations regarding investment facilitation through a multilateral agreement under the WTO and take on the risk of being brought to international dispute settlement based on those obligations. Investment facilitation measures can be adopted by means of domestic legislation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{"citationItems":[{"id":"ITEM-1","itemData":{"DOI":"10.13140/RG.2.2.25852.28806","ISBN":"1962020819","abstract":"This study focused on the comparison on similarities and differences of teaching and learning process in primary schools in Indonesia and in Uzbekistan. Two different developing countries run their own educational policies in primary education. The main purpose of the study was to identify and generally compare similarities and differences between two countries’ Primary Education, analyze and reach a deeper understanding of their teaching and learning processes. Since this study was intended to examine the process of teaching and learning in primary schools of two developing countries of Asia named Indonesia and Uzbekistan, it was hoped that this study would be useful in improving the education policy, making process in both countries studied, and point out better ways of modifying imported educational planning techniques to make them suitable to the realities in Indonesia and as well as in Uzbekistan. Secondly, this study of the applicability of contemporary education planning and policy formulation models to the both countries arena was the first step toward carrying out the much-needed reforms in curriculum. This study utilized a qualitative method approach with four phases of data collection, in which the Researcher collected qualitative data through school observation, interview, questionnaire, and analysis study. Two primary schools in Indonesia and another two primary schools in Uzbekistan were observed for richer data. The results of the study showed that there is significant difference between the Primary Education System of Indonesia and Uzbekistan. Republic of Indonesia runs a 6-3-3 formal education structure, meanwhile, Uzbekistan runs 4-5-3 formal education structure. Another difference in basic education level between two countries is that Education System if decentralized in Indonesia, simultaneously, it remains centralized in Uzbekistan. Nowadays, according to school observation, in Indonesia, student-centered instruction is widely implemented. In elementary schools of Uzbekistan start from 2012, teacher-centered system changed into students-centered system. The teaching methods in urban schools remains same in both countries, by using modern teaching devices each countries is reaching quite high expectations. In outlying areas, it remains as a crucial issue in either Indonesia or Uzbekistan. There are some reformations being taken and new policies have been introduced in both countries to improve quality of education, teacher effectiven…","author":[{"dropping-particle":"","family":"Shaturaev","given":"Jakhongir","non-dropping-particle":"","parse-names":false,"suffix":""}],"edition":"1","id":"ITEM-1","issued":{"date-parts":[["2014"]]},"number-of-pages":"241","publisher":"Repository Universitas Pendidikan Indonesia","publisher-place":"Bandung, Indonesia","title":"Comparative study on similarities and differences of teaching and learning process in primary schools in Indonesia and Uzbekistan","type":"thesis"},"uris":["http://www.mendeley.com/documents/?uuid=3a9a0214-f135-4ef6-a8fc-fc646d9a81bf","http://www.mendeley.com/documents/?uuid=fdd0178f-5511-42c4-b41a-625016c1e4d8"]}],"mendeley":{"formattedCitation":"(J. Shaturaev, 2014)","plainTextFormattedCitation":"(J. Shaturaev, 2014)","previouslyFormattedCitation":"(J. Shaturaev, 2014)"},"properties":{"noteIndex":0},"schema":"https://github.com/citation-style-language/schema/raw/master/csl-citation.json"}</w:instrText>
      </w:r>
      <w:r>
        <w:rPr>
          <w:rFonts w:ascii="Times New Roman" w:hAnsi="Times New Roman"/>
          <w:sz w:val="24"/>
          <w:szCs w:val="24"/>
        </w:rPr>
        <w:fldChar w:fldCharType="separate"/>
      </w:r>
      <w:r w:rsidRPr="00FE7C64">
        <w:rPr>
          <w:rFonts w:ascii="Times New Roman" w:hAnsi="Times New Roman"/>
          <w:noProof/>
          <w:sz w:val="24"/>
          <w:szCs w:val="24"/>
        </w:rPr>
        <w:t>(J. Shaturaev, 2014)</w:t>
      </w:r>
      <w:r>
        <w:rPr>
          <w:rFonts w:ascii="Times New Roman" w:hAnsi="Times New Roman"/>
          <w:sz w:val="24"/>
          <w:szCs w:val="24"/>
        </w:rPr>
        <w:fldChar w:fldCharType="end"/>
      </w:r>
      <w:r w:rsidRPr="004E1296">
        <w:rPr>
          <w:rFonts w:ascii="Times New Roman" w:hAnsi="Times New Roman"/>
          <w:sz w:val="24"/>
          <w:szCs w:val="24"/>
        </w:rPr>
        <w:t>.</w:t>
      </w:r>
    </w:p>
    <w:p w14:paraId="3312E3FD" w14:textId="77777777" w:rsidR="00A972E0" w:rsidRPr="004E1296" w:rsidRDefault="00A972E0" w:rsidP="00A972E0">
      <w:pPr>
        <w:pStyle w:val="a7"/>
        <w:widowControl w:val="0"/>
        <w:numPr>
          <w:ilvl w:val="0"/>
          <w:numId w:val="1"/>
        </w:numPr>
        <w:tabs>
          <w:tab w:val="left" w:pos="1260"/>
        </w:tabs>
        <w:spacing w:line="360" w:lineRule="auto"/>
        <w:ind w:left="0" w:firstLine="994"/>
        <w:jc w:val="both"/>
        <w:rPr>
          <w:rFonts w:ascii="Times New Roman" w:hAnsi="Times New Roman"/>
          <w:b/>
          <w:sz w:val="24"/>
          <w:szCs w:val="24"/>
        </w:rPr>
      </w:pPr>
      <w:r w:rsidRPr="004E1296">
        <w:rPr>
          <w:rFonts w:ascii="Times New Roman" w:hAnsi="Times New Roman"/>
          <w:sz w:val="24"/>
          <w:szCs w:val="24"/>
        </w:rPr>
        <w:t>The WTO’s mandate and core focus is trade—not sustainable development for developing countries. Furthermore, by venturing into investment facilitation, the WTO diverts attention away from the unresolved issues of the Doha Development Agenda.</w:t>
      </w:r>
      <w:r w:rsidRPr="00071825">
        <w:rPr>
          <w:rStyle w:val="a6"/>
        </w:rPr>
        <w:footnoteReference w:id="6"/>
      </w:r>
    </w:p>
    <w:p w14:paraId="76C1265E" w14:textId="77777777" w:rsidR="00A972E0" w:rsidRPr="004E1296" w:rsidRDefault="00A972E0" w:rsidP="00A972E0">
      <w:pPr>
        <w:pStyle w:val="a7"/>
        <w:widowControl w:val="0"/>
        <w:numPr>
          <w:ilvl w:val="0"/>
          <w:numId w:val="1"/>
        </w:numPr>
        <w:tabs>
          <w:tab w:val="left" w:pos="1260"/>
        </w:tabs>
        <w:spacing w:after="0" w:line="360" w:lineRule="auto"/>
        <w:ind w:left="0" w:firstLine="994"/>
        <w:jc w:val="both"/>
        <w:rPr>
          <w:rFonts w:ascii="Times New Roman" w:hAnsi="Times New Roman"/>
          <w:b/>
          <w:sz w:val="24"/>
          <w:szCs w:val="24"/>
        </w:rPr>
      </w:pPr>
      <w:r w:rsidRPr="004E1296">
        <w:rPr>
          <w:rFonts w:ascii="Times New Roman" w:hAnsi="Times New Roman"/>
          <w:sz w:val="24"/>
          <w:szCs w:val="24"/>
        </w:rPr>
        <w:t>Bringing investment facilitation into the WTO is unnecessary because it is already occurring in other fora. There are ongoing discussions at the United Nations Conference on Trade and Development (UNCTAD) on reforming investment policy at the international level</w:t>
      </w:r>
      <w:r w:rsidRPr="00071825">
        <w:rPr>
          <w:rStyle w:val="a6"/>
        </w:rPr>
        <w:footnoteReference w:id="7"/>
      </w:r>
      <w:r w:rsidRPr="004E1296">
        <w:rPr>
          <w:rFonts w:ascii="Times New Roman" w:hAnsi="Times New Roman"/>
          <w:sz w:val="24"/>
          <w:szCs w:val="24"/>
        </w:rPr>
        <w:t xml:space="preserve"> including investment facilitation,</w:t>
      </w:r>
      <w:r w:rsidRPr="00071825">
        <w:rPr>
          <w:rStyle w:val="a6"/>
        </w:rPr>
        <w:footnoteReference w:id="8"/>
      </w:r>
      <w:r w:rsidRPr="004E1296">
        <w:rPr>
          <w:rFonts w:ascii="Times New Roman" w:hAnsi="Times New Roman"/>
          <w:sz w:val="24"/>
          <w:szCs w:val="24"/>
        </w:rPr>
        <w:t xml:space="preserve"> and at the United Nations Commission on International Trade Law (UNCITRAL) on reforming investor–state dispute settlement.</w:t>
      </w:r>
      <w:r w:rsidRPr="00071825">
        <w:rPr>
          <w:rStyle w:val="a6"/>
        </w:rPr>
        <w:footnoteReference w:id="9"/>
      </w:r>
      <w:r w:rsidRPr="004E1296">
        <w:rPr>
          <w:rFonts w:ascii="Times New Roman" w:hAnsi="Times New Roman"/>
          <w:sz w:val="24"/>
          <w:szCs w:val="24"/>
          <w:vertAlign w:val="superscript"/>
        </w:rPr>
        <w:t xml:space="preserve"> </w:t>
      </w:r>
      <w:r w:rsidRPr="004E1296">
        <w:rPr>
          <w:rFonts w:ascii="Times New Roman" w:hAnsi="Times New Roman"/>
          <w:sz w:val="24"/>
          <w:szCs w:val="24"/>
        </w:rPr>
        <w:t>The European Union has also been advancing its proposal to create a multilateral investment court.</w:t>
      </w:r>
      <w:r w:rsidRPr="00071825">
        <w:rPr>
          <w:rStyle w:val="a6"/>
        </w:rPr>
        <w:footnoteReference w:id="10"/>
      </w:r>
    </w:p>
    <w:p w14:paraId="6AE9CC99" w14:textId="77777777" w:rsidR="00A972E0" w:rsidRPr="004E1296" w:rsidRDefault="00A972E0" w:rsidP="00A972E0">
      <w:pPr>
        <w:spacing w:line="360" w:lineRule="auto"/>
        <w:ind w:firstLine="990"/>
        <w:jc w:val="both"/>
        <w:rPr>
          <w:rFonts w:ascii="Times New Roman" w:hAnsi="Times New Roman" w:cs="Times New Roman"/>
          <w:b/>
          <w:sz w:val="24"/>
          <w:szCs w:val="24"/>
        </w:rPr>
      </w:pPr>
      <w:r w:rsidRPr="004E1296">
        <w:rPr>
          <w:rFonts w:ascii="Times New Roman" w:hAnsi="Times New Roman" w:cs="Times New Roman"/>
          <w:b/>
          <w:sz w:val="24"/>
          <w:szCs w:val="24"/>
        </w:rPr>
        <w:t xml:space="preserve">Regulation of Foreign Investment </w:t>
      </w:r>
    </w:p>
    <w:p w14:paraId="265AEB84" w14:textId="77777777" w:rsidR="00A972E0" w:rsidRPr="004E1296" w:rsidRDefault="00A972E0" w:rsidP="00A972E0">
      <w:pPr>
        <w:spacing w:line="360" w:lineRule="auto"/>
        <w:ind w:firstLine="990"/>
        <w:jc w:val="both"/>
        <w:rPr>
          <w:rFonts w:ascii="Times New Roman" w:hAnsi="Times New Roman" w:cs="Times New Roman"/>
          <w:sz w:val="24"/>
          <w:szCs w:val="24"/>
        </w:rPr>
      </w:pPr>
      <w:r w:rsidRPr="004E1296">
        <w:rPr>
          <w:rFonts w:ascii="Times New Roman" w:hAnsi="Times New Roman" w:cs="Times New Roman"/>
          <w:sz w:val="24"/>
          <w:szCs w:val="24"/>
        </w:rPr>
        <w:t xml:space="preserve">Notwithstanding liberalization of investment rules in recent decades, every country has used a variety of regulations to control foreign investment depending on its stage of </w:t>
      </w:r>
      <w:r w:rsidRPr="004E1296">
        <w:rPr>
          <w:rFonts w:ascii="Times New Roman" w:hAnsi="Times New Roman" w:cs="Times New Roman"/>
          <w:sz w:val="24"/>
          <w:szCs w:val="24"/>
        </w:rPr>
        <w:lastRenderedPageBreak/>
        <w:t>development. Both the developed and the developing countries have imposed a host of regulations on foreign investment to meet the wider objectives of economic policy, particularly those related to national development. Traditionally, control on foreign investment vested with national governments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{"citationItems":[{"id":"ITEM-1","itemData":{"DOI":"10.21474/ijar01/11667","ISSN":"23205407","abstract":"Handwriting has a low status and profile in literacy education and in recent years has attracted little attention from teachers, policy makers or researchers into mainstream educational processes. This article identifies a substantial programme of research into handwriting, including studies located in the domains of special needs education and psychology, which suggest that it is time to re-evaluate the importance of handwriting in the teaching of literacy. Explorations of the way handwriting affects composing has opened up new avenues for research, screening and intervention, which have the potential to make a significant contribution to children’s writing progress. In particular, the role of orthographic motor integration and automaticity in handwriting is now seen as of key importance in composing. Evidence from existing studies suggests that handwriting intervention programmes may have a real impact on the composing skills of young writers. In particular, they could positively affect the progress of the many boys who struggle with writing throughout the primary school years.","author":[{"dropping-particle":"","family":"","given":"","non-dropping-particle":"","parse-names":false,"suffix":""},{"dropping-particle":"","family":"","given":"","non-dropping-particle":"","parse-names":false,"suffix":""},{"dropping-particle":"","family":"","given":"","non-dropping-particle":"","parse-names":false,"suffix":""},{"dropping-particle":"","family":"","given":"","non-dropping-particle":"","parse-names":false,"suffix":""},{"dropping-particle":"","family":"Shaturaev","given":"Jakhongir","non-dropping-particle":"","parse-names":false,"suffix":""},{"dropping-particle":"","family":"Iroda","given":"Jalolova","non-dropping-particle":"","parse-names":false,"suffix":""},{"dropping-particle":"","family":"Gulnoza","given":"Istamova","non-dropping-particle":"","parse-names":false,"suffix":""},{"dropping-particle":"","family":"Madina","given":"Rakhimova","non-dropping-particle":"","parse-names":false,"suffix":""}],"container-title":"International Journal of Advanced Research","id":"ITEM-1","issue":"9","issued":{"date-parts":[["2020"]]},"page":"369-376","title":"Exploration Effects of Handwriting on Children’S Writing Progress","type":"article-journal","volume":"8"},"uris":["http://www.mendeley.com/documents/?uuid=6394bfa9-4e88-4169-bfd5-c6f324bb9215"]}],"mendeley":{"formattedCitation":"( et al., 2020)","plainTextFormattedCitation":"( et al., 2020)","previouslyFormattedCitation":"(J. Shaturaev et al., 2020)"},"properties":{"noteIndex":0},"schema":"https://github.com/citation-style-language/schema/raw/master/csl-citation.json"}</w:instrText>
      </w:r>
      <w:r>
        <w:rPr>
          <w:rFonts w:ascii="Times New Roman" w:hAnsi="Times New Roman" w:cs="Times New Roman"/>
          <w:sz w:val="24"/>
          <w:szCs w:val="24"/>
        </w:rPr>
        <w:fldChar w:fldCharType="separate"/>
      </w:r>
      <w:r w:rsidRPr="00352E01">
        <w:rPr>
          <w:rFonts w:ascii="Times New Roman" w:hAnsi="Times New Roman" w:cs="Times New Roman"/>
          <w:noProof/>
          <w:sz w:val="24"/>
          <w:szCs w:val="24"/>
        </w:rPr>
        <w:t>( et al., 2020)</w:t>
      </w:r>
      <w:r>
        <w:rPr>
          <w:rFonts w:ascii="Times New Roman" w:hAnsi="Times New Roman" w:cs="Times New Roman"/>
          <w:sz w:val="24"/>
          <w:szCs w:val="24"/>
        </w:rPr>
        <w:fldChar w:fldCharType="end"/>
      </w:r>
      <w:r w:rsidRPr="004E1296">
        <w:rPr>
          <w:rFonts w:ascii="Times New Roman" w:hAnsi="Times New Roman" w:cs="Times New Roman"/>
          <w:sz w:val="24"/>
          <w:szCs w:val="24"/>
        </w:rPr>
        <w:t>. The State has the right to regulate the activities of foreign investors operating within its sovereign territory. The right to regulate foreign investment is delineated in the Resolution on Permanent Sovereignty over Natural Resources approved by the UN General Assembly on December 14, 1962 which recognizes permanent sovereignty over natural wealth and resources as a basic constituent of the right to self-determination. While conferring - 7 - the right to retain control over economies, the Resolution emphasizes that foreign investment should not be subject to conditions that are contrary to the interests of the recipient states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{"citationItems":[{"id":"ITEM-1","itemData":{"DOI":"10.21474/ijar01/10237","ISSN":"0888-613X","abstract":"Handwriting has a low status and profile in literacy education and in recent years has attracted little attention from teachers, policy makers or researchers into mainstream educational processes. This article identifies a substantial programme of research into handwriting, including studies located in the domains of special needs education and psychology, which suggest that it is time to re-evaluate the importance of handwriting in the teaching of literacy. Explorations of the way handwriting affects composing has opened up new avenues for research, screening and intervention, which have the potential to make a significant contribution to children’s writing progress. In particular, the role of orthographic motor integration and automaticity in handwriting is now seen as of key importance in composing. Evidence from existing studies suggests that handwriting intervention programmes may have a real impact on the composing skills of young writers. In particular, they could positively affect the progress of the many boys who struggle with writing throughout the primary school years.","author":[{"dropping-particle":"","family":"","given":"","non-dropping-particle":"","parse-names":false,"suffix":""},{"dropping-particle":"","family":"Shaturaev","given":"Jakhongir","non-dropping-particle":"","parse-names":false,"suffix":""}],"container-title":"International Journal of Advanced Research","id":"ITEM-1","issue":"12","issued":{"date-parts":[["2019"]]},"page":"947-954","title":"the Importance of Handwriting in Education","type":"article-journal","volume":"7"},"uris":["http://www.mendeley.com/documents/?uuid=6f260d00-2bd1-4d4d-aab7-50a2bf150b0d"]}],"mendeley":{"formattedCitation":"(Shaturaev, 2019)","plainTextFormattedCitation":"(Shaturaev, 2019)","previouslyFormattedCitation":"(J. Shaturaev, 2019)"},"properties":{"noteIndex":0},"schema":"https://github.com/citation-style-language/schema/raw/master/csl-citation.json"}</w:instrText>
      </w:r>
      <w:r>
        <w:rPr>
          <w:rFonts w:ascii="Times New Roman" w:hAnsi="Times New Roman" w:cs="Times New Roman"/>
          <w:sz w:val="24"/>
          <w:szCs w:val="24"/>
        </w:rPr>
        <w:fldChar w:fldCharType="separate"/>
      </w:r>
      <w:r w:rsidRPr="00352E01">
        <w:rPr>
          <w:rFonts w:ascii="Times New Roman" w:hAnsi="Times New Roman" w:cs="Times New Roman"/>
          <w:noProof/>
          <w:sz w:val="24"/>
          <w:szCs w:val="24"/>
        </w:rPr>
        <w:t>(Shaturaev, 2019)</w:t>
      </w:r>
      <w:r>
        <w:rPr>
          <w:rFonts w:ascii="Times New Roman" w:hAnsi="Times New Roman" w:cs="Times New Roman"/>
          <w:sz w:val="24"/>
          <w:szCs w:val="24"/>
        </w:rPr>
        <w:fldChar w:fldCharType="end"/>
      </w:r>
      <w:r w:rsidRPr="004E1296">
        <w:rPr>
          <w:rFonts w:ascii="Times New Roman" w:hAnsi="Times New Roman" w:cs="Times New Roman"/>
          <w:sz w:val="24"/>
          <w:szCs w:val="24"/>
        </w:rPr>
        <w:t>.</w:t>
      </w:r>
    </w:p>
    <w:p w14:paraId="0909EA05" w14:textId="77777777" w:rsidR="00A972E0" w:rsidRPr="004E1296" w:rsidRDefault="00A972E0" w:rsidP="00A972E0">
      <w:pPr>
        <w:spacing w:line="360" w:lineRule="auto"/>
        <w:ind w:firstLine="990"/>
        <w:jc w:val="both"/>
        <w:rPr>
          <w:rFonts w:ascii="Times New Roman" w:hAnsi="Times New Roman" w:cs="Times New Roman"/>
          <w:sz w:val="24"/>
          <w:szCs w:val="24"/>
        </w:rPr>
      </w:pPr>
      <w:r w:rsidRPr="004E1296">
        <w:rPr>
          <w:rFonts w:ascii="Times New Roman" w:hAnsi="Times New Roman" w:cs="Times New Roman"/>
          <w:sz w:val="24"/>
          <w:szCs w:val="24"/>
        </w:rPr>
        <w:t>Unlike trade, foreign investment is a much more politically sensitive issue since it essentially means exercising control over ownership of national assets and resources. In the post-war period, regulations were imposed on foreign investment due to past experiences where foreign firms not only indulged in restrictive and predatory business practices but also interfered in the domestic political affairs of the host countries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{"citationItems":[{"id":"ITEM-1","itemData":{"DOI":"10.21786/bbrc/14.5/18","ISSN":"09746455","abstract":"The Government of Uzbekistan, experiencing modern reforms in an educational sector as a strategic part of a development program after the last presidential elections, spends an enormous portion of its resources on public education – significantly more than other countries in Central Asia, elsewhere with a similar income level, however, satisfactory results yet to be achieved and remains one of the crucial issues of the republic. Meanwhile, far in South-East Asia, Indonesia has made dramatic progress on expanding access to education, directing a huge stream of money towards formal education over the past few decades, but still, the learning outcomes remain low. In addition to key reforms in mandatory schooling in terms of increased quality of investment, utilization of information, communications hold considerable promise in improving educational outcomes. This comparative study on the compulsory education of both countries investigates the reasons for the low results in schooling in Indonesia and Uzbekistan. Throughout the survey, we have interviewed school teachers, principals, and authorities, analyzing available sources to find out the problem-causing factors. Drawing on our findings indicating the need for reforming the teaching-learning process, and proper investments in public education to reach promising milestones.","author":[{"dropping-particle":"","family":"Shaturaev","given":"Jakhongir","non-dropping-particle":"","parse-names":false,"suffix":""}],"container-title":"Bioscience Biotechnology Research Communications","id":"ITEM-1","issued":{"date-parts":[["2021"]]},"title":"A Comparative Analysis of Public Education System of Indonesia and Uzbekistan","type":"article-journal"},"uris":["http://www.mendeley.com/documents/?uuid=54bf22b8-4b75-46ed-b6ea-ab01f0ccfb61"]}],"mendeley":{"formattedCitation":"(J. Shaturaev, 2021b)","plainTextFormattedCitation":"(J. Shaturaev, 2021b)","previouslyFormattedCitation":"(J. Shaturaev, 2021e)"},"properties":{"noteIndex":0},"schema":"https://github.com/citation-style-language/schema/raw/master/csl-citation.json"}</w:instrText>
      </w:r>
      <w:r>
        <w:rPr>
          <w:rFonts w:ascii="Times New Roman" w:hAnsi="Times New Roman" w:cs="Times New Roman"/>
          <w:sz w:val="24"/>
          <w:szCs w:val="24"/>
        </w:rPr>
        <w:fldChar w:fldCharType="separate"/>
      </w:r>
      <w:r w:rsidRPr="00352E01">
        <w:rPr>
          <w:rFonts w:ascii="Times New Roman" w:hAnsi="Times New Roman" w:cs="Times New Roman"/>
          <w:noProof/>
          <w:sz w:val="24"/>
          <w:szCs w:val="24"/>
        </w:rPr>
        <w:t>(J. Shaturaev, 2021b)</w:t>
      </w:r>
      <w:r>
        <w:rPr>
          <w:rFonts w:ascii="Times New Roman" w:hAnsi="Times New Roman" w:cs="Times New Roman"/>
          <w:sz w:val="24"/>
          <w:szCs w:val="24"/>
        </w:rPr>
        <w:fldChar w:fldCharType="end"/>
      </w:r>
      <w:r w:rsidRPr="004E1296">
        <w:rPr>
          <w:rFonts w:ascii="Times New Roman" w:hAnsi="Times New Roman" w:cs="Times New Roman"/>
          <w:sz w:val="24"/>
          <w:szCs w:val="24"/>
        </w:rPr>
        <w:t>. Consequently, several countries undertook measures like nationalization and appropriation of assets of foreign companies in the aftermath of their independence from colonial rule. When a foreign investor enters a host country, it is supposed to follow the regulatory measures of that country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{"citationItems":[{"id":"ITEM-1","itemData":{"DOI":"10.21786/bbrc/14.5/18","ISSN":"09746455","abstract":"The Government of Uzbekistan, experiencing modern reforms in an educational sector as a strategic part of a development program after the last presidential elections, spends an enormous portion of its resources on public education – significantly more than other countries in Central Asia, elsewhere with a similar income level, however, satisfactory results yet to be achieved and remains one of the crucial issues of the republic. Meanwhile, far in South-East Asia, Indonesia has made dramatic progress on expanding access to education, directing a huge stream of money towards formal education over the past few decades, but still, the learning outcomes remain low. In addition to key reforms in mandatory schooling in terms of increased quality of investment, utilization of information, communications hold considerable promise in improving educational outcomes. This comparative study on the compulsory education of both countries investigates the reasons for the low results in schooling in Indonesia and Uzbekistan. Throughout the survey, we have interviewed school teachers, principals, and authorities, analyzing available sources to find out the problem-causing factors. Drawing on our findings indicating the need for reforming the teaching-learning process, and proper investments in public education to reach promising milestones.","author":[{"dropping-particle":"","family":"Shaturaev","given":"Jakhongir","non-dropping-particle":"","parse-names":false,"suffix":""}],"container-title":"Bioscience Biotechnology Research Communications","id":"ITEM-1","issued":{"date-parts":[["2021"]]},"title":"A Comparative Analysis of Public Education System of Indonesia and Uzbekistan","type":"article-journal"},"uris":["http://www.mendeley.com/documents/?uuid=54bf22b8-4b75-46ed-b6ea-ab01f0ccfb61"]}],"mendeley":{"formattedCitation":"(J. Shaturaev, 2021b)","plainTextFormattedCitation":"(J. Shaturaev, 2021b)","previouslyFormattedCitation":"(J. Shaturaev, 2021b)"},"properties":{"noteIndex":0},"schema":"https://github.com/citation-style-language/schema/raw/master/csl-citation.json"}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(J. Shaturaev, 2021b)</w:t>
      </w:r>
      <w:r>
        <w:rPr>
          <w:rFonts w:ascii="Times New Roman" w:hAnsi="Times New Roman" w:cs="Times New Roman"/>
          <w:sz w:val="24"/>
          <w:szCs w:val="24"/>
        </w:rPr>
        <w:fldChar w:fldCharType="end"/>
      </w:r>
      <w:r w:rsidRPr="004E1296">
        <w:rPr>
          <w:rFonts w:ascii="Times New Roman" w:hAnsi="Times New Roman" w:cs="Times New Roman"/>
          <w:sz w:val="24"/>
          <w:szCs w:val="24"/>
        </w:rPr>
        <w:t>. Several countries have devised special measures for foreign investors (both negative and positive) to distinguish between foreign and domestic investors. History shows that most investment agreement proposals are attempts at disciplining those regulatory measures which negatively discriminate foreign investors in the host countries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{"citationItems":[{"id":"ITEM-1","itemData":{"DOI":"10.21474/ijar01/10237","ISSN":"0888-613X","abstract":"Handwriting has a low status and profile in literacy education and in recent years has attracted little attention from teachers, policy makers or researchers into mainstream educational processes. This article identifies a substantial programme of research into handwriting, including studies located in the domains of special needs education and psychology, which suggest that it is time to re-evaluate the importance of handwriting in the teaching of literacy. Explorations of the way handwriting affects composing has opened up new avenues for research, screening and intervention, which have the potential to make a significant contribution to children’s writing progress. In particular, the role of orthographic motor integration and automaticity in handwriting is now seen as of key importance in composing. Evidence from existing studies suggests that handwriting intervention programmes may have a real impact on the composing skills of young writers. In particular, they could positively affect the progress of the many boys who struggle with writing throughout the primary school years.","author":[{"dropping-particle":"","family":"","given":"","non-dropping-particle":"","parse-names":false,"suffix":""},{"dropping-particle":"","family":"Shaturaev","given":"Jakhongir","non-dropping-particle":"","parse-names":false,"suffix":""}],"container-title":"International Journal of Advanced Research","id":"ITEM-1","issue":"12","issued":{"date-parts":[["2019"]]},"page":"947-954","title":"the Importance of Handwriting in Education","type":"article-journal","volume":"7"},"uris":["http://www.mendeley.com/documents/?uuid=6f260d00-2bd1-4d4d-aab7-50a2bf150b0d"]}],"mendeley":{"formattedCitation":"(Shaturaev, 2019)","plainTextFormattedCitation":"(Shaturaev, 2019)","previouslyFormattedCitation":"(Shaturaev Jakhongir, 2019)"},"properties":{"noteIndex":0},"schema":"https://github.com/citation-style-language/schema/raw/master/csl-citation.json"}</w:instrText>
      </w:r>
      <w:r>
        <w:rPr>
          <w:rFonts w:ascii="Times New Roman" w:hAnsi="Times New Roman" w:cs="Times New Roman"/>
          <w:sz w:val="24"/>
          <w:szCs w:val="24"/>
        </w:rPr>
        <w:fldChar w:fldCharType="separate"/>
      </w:r>
      <w:r w:rsidRPr="00352E01">
        <w:rPr>
          <w:rFonts w:ascii="Times New Roman" w:hAnsi="Times New Roman" w:cs="Times New Roman"/>
          <w:noProof/>
          <w:sz w:val="24"/>
          <w:szCs w:val="24"/>
        </w:rPr>
        <w:t>(Shaturaev, 2019)</w:t>
      </w:r>
      <w:r>
        <w:rPr>
          <w:rFonts w:ascii="Times New Roman" w:hAnsi="Times New Roman" w:cs="Times New Roman"/>
          <w:sz w:val="24"/>
          <w:szCs w:val="24"/>
        </w:rPr>
        <w:fldChar w:fldCharType="end"/>
      </w:r>
      <w:r w:rsidRPr="004E1296">
        <w:rPr>
          <w:rFonts w:ascii="Times New Roman" w:hAnsi="Times New Roman" w:cs="Times New Roman"/>
          <w:sz w:val="24"/>
          <w:szCs w:val="24"/>
        </w:rPr>
        <w:t>. The discriminatory forms of regulatory measures on foreign investment vary from country to country. For instance, host countries often impose pre-admission regulations on foreign investment. Such restrictions could include screening all foreign investment on case-by-case basis, not allowing foreign investment in certain sectors of economy (for instance, telecommunications, aviation, media and atomic energy), and putting general and sectoral equity limits on foreign investment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{"citationItems":[{"id":"ITEM-1","itemData":{"DOI":"10.21474/ijar01/10008","abstract":"The purpose of this special issue is to examine small businesses, innovation and entrepreneurship and show that although these three concepts have their own specific literature and can be dealt with independently, they are closely related. From Schumpeter to the present, a stream of literature unites the concept of entrepreneurship with its ability to make new combinations of factors and corresponding innovations in processes and products; similarly, in a broad stream of literature the most characteristic dimension of entrepreneurship is closely linked to small businesses. Small and large companies have different advantages and drawbacks with innovation, but small businesses provide the most conducive environment for entrepreneurship and innovation that are not necessarily sustained by the know-how and resources characteristic of large scale production but require commitment and close cooperation between company members. In this introduction we show how the three topics converge in four articles dealing with micro start-ups and innovation, institutional determinants of entrepreneurship and determining factors in entrepreneurs’ individual characteristics.","author":[{"dropping-particle":"","family":"Shaturaev","given":"J.N.","non-dropping-particle":"","parse-names":false,"suffix":""},{"dropping-particle":"","family":"Jumaev","given":"H.Sh.","non-dropping-particle":"","parse-names":false,"suffix":""}],"container-title":"International Journal of Advanced Research","id":"ITEM-1","issue":"11","issued":{"date-parts":[["2019"]]},"page":"303-307","title":"Small Business, Innovation and Entrepreneurship","type":"article-journal","volume":"7"},"uris":["http://www.mendeley.com/documents/?uuid=f6099373-8d5e-4a44-a52a-92bd0f9bac8b"]}],"mendeley":{"formattedCitation":"(J. N. Shaturaev &amp; Jumaev, 2019)","plainTextFormattedCitation":"(J. N. Shaturaev &amp; Jumaev, 2019)","previouslyFormattedCitation":"(J. N. Shaturaev &amp; Jumaev, 2019)"},"properties":{"noteIndex":0},"schema":"https://github.com/citation-style-language/schema/raw/master/csl-citation.json"}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(J. N. Shaturaev &amp; Jumaev, 2019)</w:t>
      </w:r>
      <w:r>
        <w:rPr>
          <w:rFonts w:ascii="Times New Roman" w:hAnsi="Times New Roman" w:cs="Times New Roman"/>
          <w:sz w:val="24"/>
          <w:szCs w:val="24"/>
        </w:rPr>
        <w:fldChar w:fldCharType="end"/>
      </w:r>
      <w:r w:rsidRPr="004E1296">
        <w:rPr>
          <w:rFonts w:ascii="Times New Roman" w:hAnsi="Times New Roman" w:cs="Times New Roman"/>
          <w:sz w:val="24"/>
          <w:szCs w:val="24"/>
        </w:rPr>
        <w:t>.</w:t>
      </w:r>
    </w:p>
    <w:p w14:paraId="5C6364BB" w14:textId="77777777" w:rsidR="00A972E0" w:rsidRPr="004E1296" w:rsidRDefault="00A972E0" w:rsidP="00A972E0">
      <w:pPr>
        <w:spacing w:line="360" w:lineRule="auto"/>
        <w:ind w:firstLine="990"/>
        <w:jc w:val="both"/>
        <w:rPr>
          <w:rFonts w:ascii="Times New Roman" w:hAnsi="Times New Roman" w:cs="Times New Roman"/>
          <w:sz w:val="24"/>
          <w:szCs w:val="24"/>
        </w:rPr>
      </w:pPr>
      <w:r w:rsidRPr="004E1296">
        <w:rPr>
          <w:rFonts w:ascii="Times New Roman" w:hAnsi="Times New Roman" w:cs="Times New Roman"/>
          <w:sz w:val="24"/>
          <w:szCs w:val="24"/>
        </w:rPr>
        <w:t>Concerned with sovereignty issues, the rationale behind pre-admission regulations is to ensure that foreign investors do not control productive and strategic sectors of the economy. It is important to stress here that the pre-admission regulations are not confined to the developing and the under-developed countries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{"citationItems":[{"id":"ITEM-1","itemData":{"DOI":"10.33619/2414-2948/54/45","ISSN":"2414-2948","abstract":"Assessment of young leaders in modern conditions is extremely important, since the level and condition of human resources directly affect the achievement of the organization’s goals. The personnel assessment allows not only to define the strengths and weaknesses of employees but also makes it possible to outline a professional development plan for a particular person, to identify his potential and inclinations that the company can use for its successful development. Evaluation of staff in the organization should be carried out regularly so that employees can be satisfied from the results of their work, fairly evaluated by managers, and managers could better manage employees according to the results of the evaluation and make better use of their abilities. In general, an important role in the implementation of the assessment belongs to human resources specialists and managers of various ranks.","author":[{"dropping-particle":"","family":"Bekimbetova","given":"G.","non-dropping-particle":"","parse-names":false,"suffix":""}],"container-title":"Bulletin of Science and Practice","id":"ITEM-1","issued":{"date-parts":[["2020"]]},"title":"Theoretical Aspects of the Methods and Goals in Assessment of Young Leaders","type":"article-journal"},"uris":["http://www.mendeley.com/documents/?uuid=0210106f-8267-4d29-b3ba-3dca6fd83922"]}],"mendeley":{"formattedCitation":"(G. Bekimbetova, 2020)","plainTextFormattedCitation":"(G. Bekimbetova, 2020)"},"properties":{"noteIndex":0},"schema":"https://github.com/citation-style-language/schema/raw/master/csl-citation.json"}</w:instrText>
      </w:r>
      <w:r>
        <w:rPr>
          <w:rFonts w:ascii="Times New Roman" w:hAnsi="Times New Roman" w:cs="Times New Roman"/>
          <w:sz w:val="24"/>
          <w:szCs w:val="24"/>
        </w:rPr>
        <w:fldChar w:fldCharType="separate"/>
      </w:r>
      <w:r w:rsidRPr="00352E01">
        <w:rPr>
          <w:rFonts w:ascii="Times New Roman" w:hAnsi="Times New Roman" w:cs="Times New Roman"/>
          <w:noProof/>
          <w:sz w:val="24"/>
          <w:szCs w:val="24"/>
        </w:rPr>
        <w:t>(G. Bekimbetova, 2020)</w:t>
      </w:r>
      <w:r>
        <w:rPr>
          <w:rFonts w:ascii="Times New Roman" w:hAnsi="Times New Roman" w:cs="Times New Roman"/>
          <w:sz w:val="24"/>
          <w:szCs w:val="24"/>
        </w:rPr>
        <w:fldChar w:fldCharType="end"/>
      </w:r>
      <w:r w:rsidRPr="004E1296">
        <w:rPr>
          <w:rFonts w:ascii="Times New Roman" w:hAnsi="Times New Roman" w:cs="Times New Roman"/>
          <w:sz w:val="24"/>
          <w:szCs w:val="24"/>
        </w:rPr>
        <w:t xml:space="preserve">. Several developed countries (for instance, US and Japan) have extensively imposed pre-admission regulations on </w:t>
      </w:r>
      <w:r w:rsidRPr="004E1296">
        <w:rPr>
          <w:rFonts w:ascii="Times New Roman" w:hAnsi="Times New Roman" w:cs="Times New Roman"/>
          <w:sz w:val="24"/>
          <w:szCs w:val="24"/>
        </w:rPr>
        <w:lastRenderedPageBreak/>
        <w:t>foreign investment and many of them still regulate the entry of foreign investment in strategic sectors such as media, atomic energy, telecommunications and aviation. In fact, a large number of bilateral investment treaties reserve the right of the host countries to regulate the entry of foreign investors. Contrary to popular misconception, rapid economic development has occurred amidst tight regulations on the entry of foreign investments in the two most successful cases of the post-World War II period, namely, Japan and South Korea. China — the latest “success story”— too has imposed stringent pre-admission restrictions on foreign investment including screening, negative list and sectoral limits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{"citationItems":[{"id":"ITEM-1","itemData":{"DOI":"10.21474/IJAR01/12470","abstract":"The Government of Uzbekistan, experiencing modern reforms in an educational sector as a strategic part of a development program after the last presidential elections, spends an enormous portion of its resources on public education – significantly more than other countries in Central Asia, elsewhere with a similar income level, however, it is yet to pay off. Meanwhile, far in South-East Asia, Indonesia has made dramatic progress on expanding access to education, directing a huge stream of money towards formal education over the past few decades, but still, the learning outcomes remain low. In addition to key reforms in mandatory schooling in terms of increased quality of investment, utilization of information, communications hold considerable promise in improving educational outcomes. This comparative study on the compulsory education of both counties investigates financing and educational concerns in Indonesia and Uzbekistan. Drawing on our findings indicating the need for long-term educational reforms and proper investments in public education to reach promising milestones.","author":[{"dropping-particle":"","family":"Shaturaev","given":"Jakhongir","non-dropping-particle":"","parse-names":false,"suffix":""}],"container-title":"International Journal of Advanced Research","id":"ITEM-1","issue":"02","issued":{"date-parts":[["2021"]]},"page":"461-474","title":"A REVIEW OF NATIONAL EDUCATION SYSTEM OF INDONESIA AND UZBEKISTAN : Manuscript Info Abstract Introduction : - ISSN : 2320-5407","type":"article-journal","volume":"9"},"uris":["http://www.mendeley.com/documents/?uuid=49267a2e-797b-494e-93a0-c5531efdb80c","http://www.mendeley.com/documents/?uuid=c5f3d8c9-5802-43c5-b60e-0a1df8741557"]}],"mendeley":{"formattedCitation":"(J. Shaturaev, 2021c)","plainTextFormattedCitation":"(J. Shaturaev, 2021c)","previouslyFormattedCitation":"(J. Shaturaev, 2021c)"},"properties":{"noteIndex":0},"schema":"https://github.com/citation-style-language/schema/raw/master/csl-citation.json"}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(J. Shaturaev, 2021c)</w:t>
      </w:r>
      <w:r>
        <w:rPr>
          <w:rFonts w:ascii="Times New Roman" w:hAnsi="Times New Roman" w:cs="Times New Roman"/>
          <w:sz w:val="24"/>
          <w:szCs w:val="24"/>
        </w:rPr>
        <w:fldChar w:fldCharType="end"/>
      </w:r>
    </w:p>
    <w:p w14:paraId="6C1C4C7F" w14:textId="77777777" w:rsidR="00A972E0" w:rsidRPr="004E1296" w:rsidRDefault="00A972E0" w:rsidP="00A972E0">
      <w:pPr>
        <w:spacing w:line="360" w:lineRule="auto"/>
        <w:ind w:firstLine="990"/>
        <w:jc w:val="both"/>
        <w:rPr>
          <w:rFonts w:ascii="Times New Roman" w:hAnsi="Times New Roman" w:cs="Times New Roman"/>
          <w:sz w:val="24"/>
          <w:szCs w:val="24"/>
        </w:rPr>
      </w:pPr>
      <w:r w:rsidRPr="004E1296">
        <w:rPr>
          <w:rFonts w:ascii="Times New Roman" w:hAnsi="Times New Roman" w:cs="Times New Roman"/>
          <w:sz w:val="24"/>
          <w:szCs w:val="24"/>
        </w:rPr>
        <w:t>In addition, there are also post-admission restrictions which are imposed once the foreign investor enters the host country. Designed to maximize economic gains from foreign investment, these restrictions could include compulsory joint ventures with domestic counterparts, restrictions on remittance of profits, royalty and technical fees, additional taxes, and performance requirements (conditions imposed on investors such as local content requirements, export obligations, preference to local people - 8 - in employment, location of an industry in a “backward” region and mandatory technology transfer)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{"citationItems":[{"id":"ITEM-1","itemData":{"ISBN":"0000000338592","abstract":"Indonesia, home to 273 million people, is the fourth most populous country in the world. It is also the largest archipelago on the globe. Its territory spans more than 17,000 islands that stretch for 3,181 miles along the equator between the Pacific and Indian Oceans. About 87 percent of Indonesia’s population is Sunni Muslim, making Indonesia the largest majority Muslim country in the world. Compulsory education in Indonesia faces various major educational issues such as financing, poor academic results, shortage of teachers both in rural and urban areas. These obstacles put Indonesia far from being excellent academically even with a bigger expenditure on education in the state. Throughout the research, the author tried widely draw a picture of the education system of the Republic of Indonesia as it is a part of the dissertation. The researcher has chosen field observation and analysis of available data to define the current condition of compulsory education, financing towards the national education system, teaching-learning process, and academic achievements of Indonesian school children. Collected data shows that the Government of Indonesia needs further educational reforms.","author":[{"dropping-particle":"","family":"Shaturaev","given":"Jakhongir","non-dropping-particle":"","parse-names":false,"suffix":""}],"container-title":"Архив Научных Исследований","id":"ITEM-1","issue":"6","issued":{"date-parts":[["2021"]]},"title":"Education in Indonesia : Financing , Challenges of Quality and Academic Results in Primary Education","type":"article-journal","volume":"6"},"uris":["http://www.mendeley.com/documents/?uuid=3a6e30ab-0c8e-4cde-96c3-31c6e4bfd5c8"]}],"mendeley":{"formattedCitation":"(J. Shaturaev, 2021d)","plainTextFormattedCitation":"(J. Shaturaev, 2021d)","previouslyFormattedCitation":"(J. Shaturaev, 2021d)"},"properties":{"noteIndex":0},"schema":"https://github.com/citation-style-language/schema/raw/master/csl-citation.json"}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(J. Shaturaev, 2021d)</w:t>
      </w:r>
      <w:r>
        <w:rPr>
          <w:rFonts w:ascii="Times New Roman" w:hAnsi="Times New Roman" w:cs="Times New Roman"/>
          <w:sz w:val="24"/>
          <w:szCs w:val="24"/>
        </w:rPr>
        <w:fldChar w:fldCharType="end"/>
      </w:r>
      <w:r w:rsidRPr="004E1296">
        <w:rPr>
          <w:rFonts w:ascii="Times New Roman" w:hAnsi="Times New Roman" w:cs="Times New Roman"/>
          <w:sz w:val="24"/>
          <w:szCs w:val="24"/>
        </w:rPr>
        <w:t>. Performance requirements deserve special mention here because developed countries have been advocating their elimination on the ground that these are inefficient and distortionary thereby hampering foreign investment and economic growth. On the contrary, evidence suggests that performance requirements such as local content requirements and technology transfer help in establishing industrial linkages upstream and downstream and contribute significantly towards economic development of the host country. In the absence of local content requirements, a foreign corporation is likely to source many inputs from outside which could impede the development of local clusters in the host countries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{"citationItems":[{"id":"ITEM-1","itemData":{"DOI":"10.31618/esu.2413-9335.2020.1.74.729","abstract":"The article substantiates the use of the method of analysis of the Cobb-Douglas derivative function, which contributes to an additional evaluate of the effectiveness of investment projects, giving investors and managers confidence in the implementation of investment projects in the production process.","author":[{"dropping-particle":"","family":"Bekimbetova","given":"G.M.","non-dropping-particle":"","parse-names":false,"suffix":""}],"container-title":"EurasianUnionScientists","id":"ITEM-1","issued":{"date-parts":[["2020"]]},"title":"EVALUATIONOFTHEEFFICIENCYOFINVESTMENTPROJECTSBYTHEMETHODOFTHECOBBDOUGLASDERIVATIVEFUNCTION","type":"article-journal"},"uris":["http://www.mendeley.com/documents/?uuid=e15c21ee-3c41-4cbd-82d7-a68bc34d25d4"]}],"mendeley":{"formattedCitation":"(G. M. Bekimbetova, 2020)","plainTextFormattedCitation":"(G. M. Bekimbetova, 2020)","previouslyFormattedCitation":"(G. M. Bekimbetova, 2020)"},"properties":{"noteIndex":0},"schema":"https://github.com/citation-style-language/schema/raw/master/csl-citation.json"}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(G. M. Bekimbetova, 2020)</w:t>
      </w:r>
      <w:r>
        <w:rPr>
          <w:rFonts w:ascii="Times New Roman" w:hAnsi="Times New Roman" w:cs="Times New Roman"/>
          <w:sz w:val="24"/>
          <w:szCs w:val="24"/>
        </w:rPr>
        <w:fldChar w:fldCharType="end"/>
      </w:r>
      <w:r w:rsidRPr="004E1296">
        <w:rPr>
          <w:rFonts w:ascii="Times New Roman" w:hAnsi="Times New Roman" w:cs="Times New Roman"/>
          <w:sz w:val="24"/>
          <w:szCs w:val="24"/>
        </w:rPr>
        <w:t>. It is a well-established fact that TNCs, particularly those which have very high levels of intra-firm trade, manipulate transfer pricing to avoid taxes. With the help of transfer pricing, TNCs can underprice imports of inputs thereby circumventing tariff restrictions in the host countries. Since many developing countries lack the capacity to check abuse of transfer pricing, local content requirements could serve as an alternative mechanism to curb such manipulations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{"citationItems":[{"id":"ITEM-1","itemData":{"DOI":"10.33619/2414-2948/54/45","ISSN":"2414-2948","abstract":"Assessment of young leaders in modern conditions is extremely important, since the level and condition of human resources directly affect the achievement of the organization’s goals. The personnel assessment allows not only to define the strengths and weaknesses of employees but also makes it possible to outline a professional development plan for a particular person, to identify his potential and inclinations that the company can use for its successful development. Evaluation of staff in the organization should be carried out regularly so that employees can be satisfied from the results of their work, fairly evaluated by managers, and managers could better manage employees according to the results of the evaluation and make better use of their abilities. In general, an important role in the implementation of the assessment belongs to human resources specialists and managers of various ranks.","author":[{"dropping-particle":"","family":"Bekimbetova","given":"G.","non-dropping-particle":"","parse-names":false,"suffix":""}],"container-title":"Bulletin of Science and Practice","id":"ITEM-1","issued":{"date-parts":[["2020"]]},"title":"Theoretical Aspects of the Methods and Goals in Assessment of Young Leaders","type":"article-journal"},"uris":["http://www.mendeley.com/documents/?uuid=0210106f-8267-4d29-b3ba-3dca6fd83922"]}],"mendeley":{"formattedCitation":"(G. Bekimbetova, 2020)","plainTextFormattedCitation":"(G. Bekimbetova, 2020)","previouslyFormattedCitation":"(G. Bekimbetova, 2020)"},"properties":{"noteIndex":0},"schema":"https://github.com/citation-style-language/schema/raw/master/csl-citation.json"}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(G. Bekimbetova, 2020)</w:t>
      </w:r>
      <w:r>
        <w:rPr>
          <w:rFonts w:ascii="Times New Roman" w:hAnsi="Times New Roman" w:cs="Times New Roman"/>
          <w:sz w:val="24"/>
          <w:szCs w:val="24"/>
        </w:rPr>
        <w:fldChar w:fldCharType="end"/>
      </w:r>
      <w:r w:rsidRPr="004E1296">
        <w:rPr>
          <w:rFonts w:ascii="Times New Roman" w:hAnsi="Times New Roman" w:cs="Times New Roman"/>
          <w:sz w:val="24"/>
          <w:szCs w:val="24"/>
        </w:rPr>
        <w:t>.</w:t>
      </w:r>
    </w:p>
    <w:p w14:paraId="14AF99ED" w14:textId="77777777" w:rsidR="00A972E0" w:rsidRDefault="00A972E0" w:rsidP="00A972E0">
      <w:pPr>
        <w:spacing w:line="360" w:lineRule="auto"/>
        <w:ind w:firstLine="990"/>
        <w:jc w:val="both"/>
        <w:rPr>
          <w:rFonts w:ascii="Times New Roman" w:hAnsi="Times New Roman" w:cs="Times New Roman"/>
          <w:sz w:val="24"/>
          <w:szCs w:val="24"/>
        </w:rPr>
      </w:pPr>
      <w:r w:rsidRPr="004E1296">
        <w:rPr>
          <w:rFonts w:ascii="Times New Roman" w:hAnsi="Times New Roman" w:cs="Times New Roman"/>
          <w:sz w:val="24"/>
          <w:szCs w:val="24"/>
        </w:rPr>
        <w:t>Rebuttal of the main cla</w:t>
      </w:r>
      <w:r>
        <w:rPr>
          <w:rFonts w:ascii="Times New Roman" w:hAnsi="Times New Roman" w:cs="Times New Roman"/>
          <w:sz w:val="24"/>
          <w:szCs w:val="24"/>
        </w:rPr>
        <w:t xml:space="preserve">ims in the FIFD Background Note. </w:t>
      </w:r>
      <w:r w:rsidRPr="004E1296">
        <w:rPr>
          <w:rFonts w:ascii="Times New Roman" w:hAnsi="Times New Roman" w:cs="Times New Roman"/>
          <w:sz w:val="24"/>
          <w:szCs w:val="24"/>
        </w:rPr>
        <w:t>The first three pages of the FIFD background note imply some spurious causal nexus between the benefits they claim and having rules in the WTO, without specifying the rules or establishing the link. The claims they make throughout are unreferenced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{"citationItems":[{"id":"ITEM-1","itemData":{"DOI":"10.31618/esu.2413-9335.2020.1.74.729","abstract":"The article substantiates the use of the method of analysis of the Cobb-Douglas derivative function, which contributes to an additional evaluate of the effectiveness of investment projects, giving investors and managers confidence in the implementation of investment projects in the production process.","author":[{"dropping-particle":"","family":"Bekimbetova","given":"G.M.","non-dropping-particle":"","parse-names":false,"suffix":""}],"container-title":"EurasianUnionScientists","id":"ITEM-1","issued":{"date-parts":[["2020"]]},"title":"EVALUATIONOFTHEEFFICIENCYOFINVESTMENTPROJECTSBYTHEMETHODOFTHECOBBDOUGLASDERIVATIVEFUNCTION","type":"article-journal"},"uris":["http://www.mendeley.com/documents/?uuid=e15c21ee-3c41-4cbd-82d7-a68bc34d25d4"]}],"mendeley":{"formattedCitation":"(G. M. Bekimbetova, 2020)","plainTextFormattedCitation":"(G. M. Bekimbetova, 2020)","previouslyFormattedCitation":"(G. M. Bekimbetova, 2020)"},"properties":{"noteIndex":0},"schema":"https://github.com/citation-style-language/schema/raw/master/csl-citation.json"}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(G. M. Bekimbetova, 2020)</w:t>
      </w:r>
      <w:r>
        <w:rPr>
          <w:rFonts w:ascii="Times New Roman" w:hAnsi="Times New Roman" w:cs="Times New Roman"/>
          <w:sz w:val="24"/>
          <w:szCs w:val="24"/>
        </w:rPr>
        <w:fldChar w:fldCharType="end"/>
      </w:r>
      <w:r w:rsidRPr="004E1296">
        <w:rPr>
          <w:rFonts w:ascii="Times New Roman" w:hAnsi="Times New Roman" w:cs="Times New Roman"/>
          <w:sz w:val="24"/>
          <w:szCs w:val="24"/>
        </w:rPr>
        <w:t xml:space="preserve">. In the rare cases where </w:t>
      </w:r>
      <w:r w:rsidRPr="004E1296">
        <w:rPr>
          <w:rFonts w:ascii="Times New Roman" w:hAnsi="Times New Roman" w:cs="Times New Roman"/>
          <w:sz w:val="24"/>
          <w:szCs w:val="24"/>
        </w:rPr>
        <w:lastRenderedPageBreak/>
        <w:t>there are references, the lack of accuracy (for example, “World Bank research…”) makes it impossible to check if the studies cited actually say what they claim and the details.</w:t>
      </w:r>
    </w:p>
    <w:p w14:paraId="2FB0E141" w14:textId="77777777" w:rsidR="003644B6" w:rsidRDefault="003644B6" w:rsidP="00A972E0">
      <w:pPr>
        <w:spacing w:line="360" w:lineRule="auto"/>
        <w:ind w:firstLine="990"/>
        <w:jc w:val="both"/>
        <w:rPr>
          <w:rFonts w:ascii="Times New Roman" w:hAnsi="Times New Roman" w:cs="Times New Roman"/>
          <w:sz w:val="24"/>
          <w:szCs w:val="24"/>
        </w:rPr>
      </w:pPr>
    </w:p>
    <w:p w14:paraId="2FBE5162" w14:textId="77777777" w:rsidR="003644B6" w:rsidRPr="003644B6" w:rsidRDefault="003644B6" w:rsidP="003644B6">
      <w:pPr>
        <w:spacing w:line="360" w:lineRule="auto"/>
        <w:ind w:firstLine="990"/>
        <w:jc w:val="right"/>
        <w:rPr>
          <w:rFonts w:ascii="Times New Roman" w:hAnsi="Times New Roman" w:cs="Times New Roman"/>
          <w:b/>
          <w:sz w:val="24"/>
          <w:szCs w:val="24"/>
        </w:rPr>
      </w:pPr>
      <w:r w:rsidRPr="003644B6">
        <w:rPr>
          <w:rFonts w:ascii="Times New Roman" w:hAnsi="Times New Roman" w:cs="Times New Roman"/>
          <w:b/>
          <w:sz w:val="24"/>
          <w:szCs w:val="24"/>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45"/>
      </w:tblGrid>
      <w:tr w:rsidR="00A972E0" w:rsidRPr="004E1296" w14:paraId="7B42A98D" w14:textId="77777777" w:rsidTr="00A972E0">
        <w:tc>
          <w:tcPr>
            <w:tcW w:w="2515" w:type="dxa"/>
            <w:shd w:val="clear" w:color="auto" w:fill="auto"/>
          </w:tcPr>
          <w:p w14:paraId="3344DD1E" w14:textId="77777777" w:rsidR="00A972E0" w:rsidRPr="003644B6" w:rsidRDefault="00A972E0" w:rsidP="003644B6">
            <w:pPr>
              <w:jc w:val="center"/>
              <w:rPr>
                <w:rFonts w:ascii="Times New Roman" w:hAnsi="Times New Roman" w:cs="Times New Roman"/>
                <w:b/>
                <w:sz w:val="24"/>
                <w:szCs w:val="24"/>
              </w:rPr>
            </w:pPr>
            <w:r w:rsidRPr="003644B6">
              <w:rPr>
                <w:rFonts w:ascii="Times New Roman" w:hAnsi="Times New Roman" w:cs="Times New Roman"/>
                <w:b/>
                <w:sz w:val="24"/>
                <w:szCs w:val="24"/>
              </w:rPr>
              <w:t>FIFD paper claim</w:t>
            </w:r>
          </w:p>
        </w:tc>
        <w:tc>
          <w:tcPr>
            <w:tcW w:w="6545" w:type="dxa"/>
            <w:shd w:val="clear" w:color="auto" w:fill="auto"/>
          </w:tcPr>
          <w:p w14:paraId="73E38A6F" w14:textId="77777777" w:rsidR="00A972E0" w:rsidRPr="003644B6" w:rsidRDefault="00A972E0" w:rsidP="003644B6">
            <w:pPr>
              <w:jc w:val="center"/>
              <w:rPr>
                <w:rFonts w:ascii="Times New Roman" w:hAnsi="Times New Roman" w:cs="Times New Roman"/>
                <w:b/>
                <w:sz w:val="24"/>
                <w:szCs w:val="24"/>
              </w:rPr>
            </w:pPr>
            <w:r w:rsidRPr="003644B6">
              <w:rPr>
                <w:rFonts w:ascii="Times New Roman" w:hAnsi="Times New Roman" w:cs="Times New Roman"/>
                <w:b/>
                <w:sz w:val="24"/>
                <w:szCs w:val="24"/>
              </w:rPr>
              <w:t>Rebuttal</w:t>
            </w:r>
          </w:p>
        </w:tc>
      </w:tr>
      <w:tr w:rsidR="00A972E0" w:rsidRPr="004E1296" w14:paraId="02420B02" w14:textId="77777777" w:rsidTr="00A972E0">
        <w:tc>
          <w:tcPr>
            <w:tcW w:w="2515" w:type="dxa"/>
            <w:shd w:val="clear" w:color="auto" w:fill="auto"/>
          </w:tcPr>
          <w:p w14:paraId="476F6F59"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Investment is a trade issue (and so belongs in the WTO):</w:t>
            </w:r>
          </w:p>
        </w:tc>
        <w:tc>
          <w:tcPr>
            <w:tcW w:w="6545" w:type="dxa"/>
            <w:shd w:val="clear" w:color="auto" w:fill="auto"/>
          </w:tcPr>
          <w:p w14:paraId="190F7D2E" w14:textId="77777777" w:rsidR="00A972E0" w:rsidRPr="004E1296" w:rsidRDefault="00A972E0" w:rsidP="00707783">
            <w:pPr>
              <w:jc w:val="both"/>
              <w:rPr>
                <w:rFonts w:ascii="Times New Roman" w:hAnsi="Times New Roman" w:cs="Times New Roman"/>
                <w:sz w:val="24"/>
                <w:szCs w:val="24"/>
              </w:rPr>
            </w:pPr>
          </w:p>
        </w:tc>
      </w:tr>
      <w:tr w:rsidR="00A972E0" w:rsidRPr="004E1296" w14:paraId="5D01E31A" w14:textId="77777777" w:rsidTr="00A972E0">
        <w:tc>
          <w:tcPr>
            <w:tcW w:w="2515" w:type="dxa"/>
            <w:shd w:val="clear" w:color="auto" w:fill="auto"/>
          </w:tcPr>
          <w:p w14:paraId="3AACEF2B"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a) Because trade and investment are interlinked</w:t>
            </w:r>
          </w:p>
        </w:tc>
        <w:tc>
          <w:tcPr>
            <w:tcW w:w="6545" w:type="dxa"/>
            <w:shd w:val="clear" w:color="auto" w:fill="auto"/>
          </w:tcPr>
          <w:p w14:paraId="17601B3E" w14:textId="77777777" w:rsidR="00A972E0" w:rsidRPr="004E1296" w:rsidRDefault="00A972E0" w:rsidP="00707783">
            <w:pPr>
              <w:jc w:val="both"/>
              <w:rPr>
                <w:rFonts w:ascii="Times New Roman" w:hAnsi="Times New Roman" w:cs="Times New Roman"/>
                <w:sz w:val="24"/>
                <w:szCs w:val="24"/>
                <w:vertAlign w:val="superscript"/>
              </w:rPr>
            </w:pPr>
            <w:r w:rsidRPr="004E1296">
              <w:rPr>
                <w:rFonts w:ascii="Times New Roman" w:hAnsi="Times New Roman" w:cs="Times New Roman"/>
                <w:sz w:val="24"/>
                <w:szCs w:val="24"/>
              </w:rPr>
              <w:t xml:space="preserve">While there are interlinkages between trade and investment, states have deliberately decided to keep the regulation of these two areas of international economic law separate. This decision was based on concerns regarding by the contentious nature of the international regulation of FDI and the divergence of views among countries. Among the main concerns were that multilateral rules on investment would threaten the protection of human rights, </w:t>
            </w:r>
            <w:proofErr w:type="spellStart"/>
            <w:r w:rsidRPr="004E1296">
              <w:rPr>
                <w:rFonts w:ascii="Times New Roman" w:hAnsi="Times New Roman" w:cs="Times New Roman"/>
                <w:sz w:val="24"/>
                <w:szCs w:val="24"/>
              </w:rPr>
              <w:t>labour</w:t>
            </w:r>
            <w:proofErr w:type="spellEnd"/>
            <w:r w:rsidRPr="004E1296">
              <w:rPr>
                <w:rFonts w:ascii="Times New Roman" w:hAnsi="Times New Roman" w:cs="Times New Roman"/>
                <w:sz w:val="24"/>
                <w:szCs w:val="24"/>
              </w:rPr>
              <w:t xml:space="preserve"> and environmental standards by fostering a race to the bottom. </w:t>
            </w:r>
            <w:r w:rsidRPr="00071825">
              <w:rPr>
                <w:rStyle w:val="a6"/>
              </w:rPr>
              <w:footnoteReference w:id="11"/>
            </w:r>
          </w:p>
        </w:tc>
      </w:tr>
      <w:tr w:rsidR="00A972E0" w:rsidRPr="004E1296" w14:paraId="086942BA" w14:textId="77777777" w:rsidTr="00A972E0">
        <w:tc>
          <w:tcPr>
            <w:tcW w:w="2515" w:type="dxa"/>
            <w:shd w:val="clear" w:color="auto" w:fill="auto"/>
          </w:tcPr>
          <w:p w14:paraId="2C724486"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b) Because of global value chains (GVCs) which countries need to integrate into and so countries need to encourage FDI to encourage exports and get jobs</w:t>
            </w:r>
          </w:p>
        </w:tc>
        <w:tc>
          <w:tcPr>
            <w:tcW w:w="6545" w:type="dxa"/>
            <w:shd w:val="clear" w:color="auto" w:fill="auto"/>
          </w:tcPr>
          <w:p w14:paraId="36BB879F"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Developing countries have not benefited much from joining GVCs. For example, 67% of total global value created under global value chains accrue to OECD countries while the share accruing to newly industrialized countries and BRICS countries is 25%. Only 8% of total value added is shared among all other developing countries and LDCs.</w:t>
            </w:r>
            <w:r w:rsidRPr="00071825">
              <w:rPr>
                <w:rStyle w:val="a6"/>
              </w:rPr>
              <w:footnoteReference w:id="12"/>
            </w:r>
            <w:r w:rsidRPr="004E1296">
              <w:rPr>
                <w:rFonts w:ascii="Times New Roman" w:hAnsi="Times New Roman" w:cs="Times New Roman"/>
                <w:sz w:val="24"/>
                <w:szCs w:val="24"/>
              </w:rPr>
              <w:t xml:space="preserve"> According to the Centre for WTO Studies:</w:t>
            </w:r>
            <w:r w:rsidRPr="00071825">
              <w:rPr>
                <w:rStyle w:val="a6"/>
              </w:rPr>
              <w:footnoteReference w:id="13"/>
            </w:r>
            <w:r w:rsidRPr="004E1296">
              <w:rPr>
                <w:rFonts w:ascii="Times New Roman" w:hAnsi="Times New Roman" w:cs="Times New Roman"/>
                <w:sz w:val="24"/>
                <w:szCs w:val="24"/>
              </w:rPr>
              <w:t xml:space="preserve"> </w:t>
            </w:r>
          </w:p>
          <w:p w14:paraId="534EA86A"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Oligopolies among lead firms in GVCs and intense competition amongst suppliers of parts and components means lead firms such as Apple, Dell </w:t>
            </w:r>
            <w:proofErr w:type="spellStart"/>
            <w:r w:rsidRPr="004E1296">
              <w:rPr>
                <w:rFonts w:ascii="Times New Roman" w:hAnsi="Times New Roman" w:cs="Times New Roman"/>
                <w:sz w:val="24"/>
                <w:szCs w:val="24"/>
              </w:rPr>
              <w:t>etc</w:t>
            </w:r>
            <w:proofErr w:type="spellEnd"/>
            <w:r w:rsidRPr="004E1296">
              <w:rPr>
                <w:rFonts w:ascii="Times New Roman" w:hAnsi="Times New Roman" w:cs="Times New Roman"/>
                <w:sz w:val="24"/>
                <w:szCs w:val="24"/>
              </w:rPr>
              <w:t xml:space="preserve"> often dictate the terms of supply. This asymmetry is fostered by the WTO rules which lower tariffs on imports of the parts and components but keep intellectual property protection on the lead firms so maintaining barriers to entry to competitors to the lead firms. Therefore, many studies across a variety of product groups from textiles to agricultural products and IT products have found that manufacturing (the part done in developing countries) generates the least income compared to other activities in a GVC </w:t>
            </w:r>
            <w:proofErr w:type="spellStart"/>
            <w:r w:rsidRPr="004E1296">
              <w:rPr>
                <w:rFonts w:ascii="Times New Roman" w:hAnsi="Times New Roman" w:cs="Times New Roman"/>
                <w:sz w:val="24"/>
                <w:szCs w:val="24"/>
              </w:rPr>
              <w:t>eg</w:t>
            </w:r>
            <w:proofErr w:type="spellEnd"/>
            <w:r w:rsidRPr="004E1296">
              <w:rPr>
                <w:rFonts w:ascii="Times New Roman" w:hAnsi="Times New Roman" w:cs="Times New Roman"/>
                <w:sz w:val="24"/>
                <w:szCs w:val="24"/>
              </w:rPr>
              <w:t xml:space="preserve"> product design (protected by intellectual property so can make monopoly profits) and marketing, sales, branding, after-sales activity etc. ends of the GVC which are done in the USA. For example, only $ 4 out of an iPods total retail price of $ 299 can be attributed to producers located in China while most of the value accrues to the US, Japan and Korea. “Apple employees in the United States have an average annual profit per employee of about $400,000, whereas many workers at Foxconn (the Taiwanese-owned, China-based contract </w:t>
            </w:r>
            <w:r w:rsidRPr="004E1296">
              <w:rPr>
                <w:rFonts w:ascii="Times New Roman" w:hAnsi="Times New Roman" w:cs="Times New Roman"/>
                <w:sz w:val="24"/>
                <w:szCs w:val="24"/>
              </w:rPr>
              <w:lastRenderedPageBreak/>
              <w:t xml:space="preserve">manufacturer that does the iPhone assembly) earned less than $400 per month in 2012.” </w:t>
            </w:r>
          </w:p>
          <w:p w14:paraId="0B9FD98E"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Developing countries need to move up the value chain however developing country firms find it extremely difficult, if not totally impossible, to do this in GVCs including because a) developing countries lack the specialized skills, access to technology and credit etc. and b) due to the asymmetry in power relations between lead firms and suppliers where lead firms keep control over the higher value added areas such as R&amp;D, design, distribution etc. </w:t>
            </w:r>
          </w:p>
          <w:p w14:paraId="0E69D768"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For a number of years, the desire to facilitate integration into GVCs has already been used as a justification for a variety of proposed changes to WTO rules including stronger intellectual property protection. </w:t>
            </w:r>
          </w:p>
          <w:p w14:paraId="0D797AD0"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There are actually a number of costs to joining GVCs including: </w:t>
            </w:r>
            <w:proofErr w:type="spellStart"/>
            <w:r w:rsidRPr="004E1296">
              <w:rPr>
                <w:rFonts w:ascii="Times New Roman" w:hAnsi="Times New Roman" w:cs="Times New Roman"/>
                <w:sz w:val="24"/>
                <w:szCs w:val="24"/>
              </w:rPr>
              <w:t>i</w:t>
            </w:r>
            <w:proofErr w:type="spellEnd"/>
            <w:r w:rsidRPr="004E1296">
              <w:rPr>
                <w:rFonts w:ascii="Times New Roman" w:hAnsi="Times New Roman" w:cs="Times New Roman"/>
                <w:sz w:val="24"/>
                <w:szCs w:val="24"/>
              </w:rPr>
              <w:t>) Overdependence and therefore vulnerability to lead firms for GVC access which weakens the bargaining position of developing country suppliers ii) Lead firms often switch to lower cost suppliers iii) Integration into GVCs has not helped develop a vibrant industrial sector or domestic production beyond low value-added activities. In fact it can have a negative effect on industrial upgrading, trapping developing country firms in low value addition</w:t>
            </w:r>
          </w:p>
        </w:tc>
      </w:tr>
      <w:tr w:rsidR="00A972E0" w:rsidRPr="004E1296" w14:paraId="1C22F0A7" w14:textId="77777777" w:rsidTr="00A972E0">
        <w:tc>
          <w:tcPr>
            <w:tcW w:w="2515" w:type="dxa"/>
            <w:shd w:val="clear" w:color="auto" w:fill="auto"/>
          </w:tcPr>
          <w:p w14:paraId="49317FC9"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lastRenderedPageBreak/>
              <w:t>c) Because of the growing importance of services which blurs lines between trade and investment. Many services are delivered via mode 3</w:t>
            </w:r>
          </w:p>
        </w:tc>
        <w:tc>
          <w:tcPr>
            <w:tcW w:w="6545" w:type="dxa"/>
            <w:shd w:val="clear" w:color="auto" w:fill="auto"/>
          </w:tcPr>
          <w:p w14:paraId="0B000DE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There is still a difference between services and investment. E.g. providing banking services via a branch in another country is mode 3, but the land the bank bought for the branch is the investment and the trademarked name of the bank is an investment etc.</w:t>
            </w:r>
          </w:p>
        </w:tc>
      </w:tr>
      <w:tr w:rsidR="00A972E0" w:rsidRPr="004E1296" w14:paraId="5F4416AC" w14:textId="77777777" w:rsidTr="00A972E0">
        <w:tc>
          <w:tcPr>
            <w:tcW w:w="2515" w:type="dxa"/>
            <w:shd w:val="clear" w:color="auto" w:fill="auto"/>
          </w:tcPr>
          <w:p w14:paraId="0376E8F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d) Because of the rapid rise of the digital economy where it is unclear whether a downloaded movie is a good or service or investment &amp; developing countries can’t participate in the digital economy without increased investment in the hard and soft infrastructure needed to connect to it and most of this will come from the private sector. Increased broadband increases growth</w:t>
            </w:r>
          </w:p>
        </w:tc>
        <w:tc>
          <w:tcPr>
            <w:tcW w:w="6545" w:type="dxa"/>
            <w:shd w:val="clear" w:color="auto" w:fill="auto"/>
          </w:tcPr>
          <w:p w14:paraId="03D36130"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There is a digital divide where developing countries need investment in electrification and broadband cables etc. However: a) the rules proposed at the WTO in the name of investment facilitation (IF) have not been proven to attract foreign direct investment (FDI), see Annex. b) even if the WTO’s IF proposals did attract FDI (e.g. a single window for investments), WTO Members could implement those unilaterally tomorrow, without locking in the IF rules which have a number of other consequences including restricting regulatory and policy space. c) even if new WTO IF rules are agreed, it is highly unlikely that there will be sufficient new, enforceable aid to electrify and connect to the internet all the remaining unserved areas in developing countries and LDCs. For example the EU’s WTO ecommerce proposal</w:t>
            </w:r>
            <w:r w:rsidRPr="00071825">
              <w:rPr>
                <w:rStyle w:val="a6"/>
              </w:rPr>
              <w:footnoteReference w:id="14"/>
            </w:r>
            <w:r w:rsidRPr="004E1296">
              <w:rPr>
                <w:rFonts w:ascii="Times New Roman" w:hAnsi="Times New Roman" w:cs="Times New Roman"/>
                <w:sz w:val="24"/>
                <w:szCs w:val="24"/>
              </w:rPr>
              <w:t xml:space="preserve"> explicitly says that each international organization has a role to play and it is the World Bank that “provides financial and technical assistance” while the WTO negotiates new rules</w:t>
            </w:r>
          </w:p>
        </w:tc>
      </w:tr>
      <w:tr w:rsidR="00A972E0" w:rsidRPr="004E1296" w14:paraId="6A27B6C1" w14:textId="77777777" w:rsidTr="00A972E0">
        <w:tc>
          <w:tcPr>
            <w:tcW w:w="2515" w:type="dxa"/>
            <w:shd w:val="clear" w:color="auto" w:fill="auto"/>
          </w:tcPr>
          <w:p w14:paraId="5226B314"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lastRenderedPageBreak/>
              <w:t>e) SDGs recognize the significant role of investment and there is a need for FDI</w:t>
            </w:r>
          </w:p>
        </w:tc>
        <w:tc>
          <w:tcPr>
            <w:tcW w:w="6545" w:type="dxa"/>
            <w:shd w:val="clear" w:color="auto" w:fill="auto"/>
          </w:tcPr>
          <w:p w14:paraId="31B0E401"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That does not mean the WTO must have investment rules, especially since the IF proposals have not been proven to attract FDI, see below</w:t>
            </w:r>
          </w:p>
        </w:tc>
      </w:tr>
      <w:tr w:rsidR="00A972E0" w:rsidRPr="004E1296" w14:paraId="4D71E0EE" w14:textId="77777777" w:rsidTr="00A972E0">
        <w:tc>
          <w:tcPr>
            <w:tcW w:w="2515" w:type="dxa"/>
            <w:shd w:val="clear" w:color="auto" w:fill="auto"/>
          </w:tcPr>
          <w:p w14:paraId="109AF364"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f) SDGs emphasize the importance of retooling investment policies</w:t>
            </w:r>
          </w:p>
        </w:tc>
        <w:tc>
          <w:tcPr>
            <w:tcW w:w="6545" w:type="dxa"/>
            <w:shd w:val="clear" w:color="auto" w:fill="auto"/>
          </w:tcPr>
          <w:p w14:paraId="2377FEAC"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If it is helpful and the benefits outweigh the costs, developing countries can do that unilaterally tomorrow, without locking in IF rules at the WTO that restrict regulatory and policy space</w:t>
            </w:r>
          </w:p>
        </w:tc>
      </w:tr>
      <w:tr w:rsidR="00A972E0" w:rsidRPr="004E1296" w14:paraId="779A5294" w14:textId="77777777" w:rsidTr="00A972E0">
        <w:tc>
          <w:tcPr>
            <w:tcW w:w="2515" w:type="dxa"/>
            <w:shd w:val="clear" w:color="auto" w:fill="auto"/>
          </w:tcPr>
          <w:p w14:paraId="24CED92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g) The combining of trade and investment in a single ministry shows that governments recognize trade and investment policies are intertwined. 133/260 regional trade agreements (RTAs) include investment provisions</w:t>
            </w:r>
          </w:p>
        </w:tc>
        <w:tc>
          <w:tcPr>
            <w:tcW w:w="6545" w:type="dxa"/>
            <w:shd w:val="clear" w:color="auto" w:fill="auto"/>
          </w:tcPr>
          <w:p w14:paraId="2E6CE2EA"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Capital exporting countries have been pushing investment rules in RTAs because it suits their companies investing abroad. </w:t>
            </w:r>
          </w:p>
          <w:p w14:paraId="224A04A0"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It does not specify what investment provisions are in these 133 RTAs. E.g. is it a cooperation provision saying the Parties would like to cooperate to encourage FDI? Or just the same mode 3 services liberalization commitments as they have made at the WTO?</w:t>
            </w:r>
          </w:p>
          <w:p w14:paraId="0CA02AE5"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Governments may have combined trade and investment into one ministry because they are negotiating RTAs with investment provisions</w:t>
            </w:r>
          </w:p>
        </w:tc>
      </w:tr>
      <w:tr w:rsidR="00A972E0" w:rsidRPr="004E1296" w14:paraId="6F1CB7C7" w14:textId="77777777" w:rsidTr="00A972E0">
        <w:tc>
          <w:tcPr>
            <w:tcW w:w="2515" w:type="dxa"/>
            <w:shd w:val="clear" w:color="auto" w:fill="auto"/>
          </w:tcPr>
          <w:p w14:paraId="765EEB3A"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h) The private sector in developing countries and LDCs is calling on governments to address trade and investment issues in an integrated way</w:t>
            </w:r>
          </w:p>
        </w:tc>
        <w:tc>
          <w:tcPr>
            <w:tcW w:w="6545" w:type="dxa"/>
            <w:shd w:val="clear" w:color="auto" w:fill="auto"/>
          </w:tcPr>
          <w:p w14:paraId="32730CD4"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The private sector calls for many things, but governments have to balance many competing considerations. E.g. the private sector may not want to pay any taxes, but the government needs revenue to pay for civil servants and public services etc. The private sector may not want any environmental regulations e.g. in the mining sector, but the government may also need to consider the impact if the river is polluted and the downstream people who rely on the river for water and fish can no longer do so. </w:t>
            </w:r>
          </w:p>
          <w:p w14:paraId="02BFE521"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This only cites one survey of 3 countries (with how many respondents?), so are it all private sector companies in all countries calling for this? </w:t>
            </w:r>
          </w:p>
          <w:p w14:paraId="16C5DAB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The private sector from these 3 countries are asking for: </w:t>
            </w:r>
          </w:p>
          <w:p w14:paraId="3F653D89"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o Goods and services trade policies to support more investment. However, as noted in the Annex below, liberalizing goods or services is not proven to attract FDI.</w:t>
            </w:r>
          </w:p>
          <w:p w14:paraId="29F67614"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o Facilitating integration into GVCs. However, as noted above, GVC integration can have many costs and limited benefits.</w:t>
            </w:r>
          </w:p>
        </w:tc>
      </w:tr>
      <w:tr w:rsidR="00A972E0" w:rsidRPr="004E1296" w14:paraId="073FA4F5" w14:textId="77777777" w:rsidTr="00A972E0">
        <w:tc>
          <w:tcPr>
            <w:tcW w:w="2515" w:type="dxa"/>
            <w:shd w:val="clear" w:color="auto" w:fill="auto"/>
          </w:tcPr>
          <w:p w14:paraId="3BC33751"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Kenyan success story</w:t>
            </w:r>
          </w:p>
        </w:tc>
        <w:tc>
          <w:tcPr>
            <w:tcW w:w="6545" w:type="dxa"/>
            <w:shd w:val="clear" w:color="auto" w:fill="auto"/>
          </w:tcPr>
          <w:p w14:paraId="4B2DF92A"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a) If these investment facilitation measures are useful, WTO Members can unilaterally implement them tomorrow, without having their regulatory and policy space restricted by the proposed WTO IF rules </w:t>
            </w:r>
          </w:p>
          <w:p w14:paraId="3DBC98D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b) No evidence is provided that these Kenyan IF measures actually increased FDI</w:t>
            </w:r>
          </w:p>
        </w:tc>
      </w:tr>
      <w:tr w:rsidR="00A972E0" w:rsidRPr="004E1296" w14:paraId="5F328395" w14:textId="77777777" w:rsidTr="00A972E0">
        <w:tc>
          <w:tcPr>
            <w:tcW w:w="2515" w:type="dxa"/>
            <w:shd w:val="clear" w:color="auto" w:fill="auto"/>
          </w:tcPr>
          <w:p w14:paraId="2FA7F75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Many countries are already doing IF measures</w:t>
            </w:r>
          </w:p>
        </w:tc>
        <w:tc>
          <w:tcPr>
            <w:tcW w:w="6545" w:type="dxa"/>
            <w:shd w:val="clear" w:color="auto" w:fill="auto"/>
          </w:tcPr>
          <w:p w14:paraId="59C972A4"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So it shows that governments can and are already doing IF voluntarily if they think: </w:t>
            </w:r>
          </w:p>
          <w:p w14:paraId="203FDED6"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a) they need to, </w:t>
            </w:r>
          </w:p>
          <w:p w14:paraId="4D5488B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b) it suits them </w:t>
            </w:r>
          </w:p>
          <w:p w14:paraId="3F0EA210"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c) the benefits outweigh the costs and </w:t>
            </w:r>
          </w:p>
          <w:p w14:paraId="2F6C0CC4"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d) it is an important priority for them at their current stage of development (including a spending priority given their other spending needs </w:t>
            </w:r>
            <w:proofErr w:type="spellStart"/>
            <w:r w:rsidRPr="004E1296">
              <w:rPr>
                <w:rFonts w:ascii="Times New Roman" w:hAnsi="Times New Roman" w:cs="Times New Roman"/>
                <w:sz w:val="24"/>
                <w:szCs w:val="24"/>
              </w:rPr>
              <w:t>eg</w:t>
            </w:r>
            <w:proofErr w:type="spellEnd"/>
            <w:r w:rsidRPr="004E1296">
              <w:rPr>
                <w:rFonts w:ascii="Times New Roman" w:hAnsi="Times New Roman" w:cs="Times New Roman"/>
                <w:sz w:val="24"/>
                <w:szCs w:val="24"/>
              </w:rPr>
              <w:t xml:space="preserve"> health, education etc.)</w:t>
            </w:r>
          </w:p>
        </w:tc>
      </w:tr>
      <w:tr w:rsidR="00A972E0" w:rsidRPr="004E1296" w14:paraId="7A8278D0" w14:textId="77777777" w:rsidTr="00A972E0">
        <w:tc>
          <w:tcPr>
            <w:tcW w:w="2515" w:type="dxa"/>
            <w:shd w:val="clear" w:color="auto" w:fill="auto"/>
          </w:tcPr>
          <w:p w14:paraId="2FEED6C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lastRenderedPageBreak/>
              <w:t>Private sector companies surveyed say regulatory uncertainty is a main entry barrier to invest in value chains in developing countries and they say a more stable and predictable investment regime is a top priority</w:t>
            </w:r>
          </w:p>
        </w:tc>
        <w:tc>
          <w:tcPr>
            <w:tcW w:w="6545" w:type="dxa"/>
            <w:shd w:val="clear" w:color="auto" w:fill="auto"/>
          </w:tcPr>
          <w:p w14:paraId="78B350FC"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None of these have been shown to be empirically significant attractors of FDI, see Annex below. </w:t>
            </w:r>
          </w:p>
          <w:p w14:paraId="1236BD9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 As noted above, the private sector wants many things, e.g. not to pay any taxes, but governments have to balance competing considerations e.g. flexibility to adjust investment regulations as: </w:t>
            </w:r>
          </w:p>
          <w:p w14:paraId="591364C7"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o It receives new information (e.g. that fracking is dangerous to health and so deny investment permits for fracking), or </w:t>
            </w:r>
          </w:p>
          <w:p w14:paraId="580DFEDB"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o There are changes in external circumstances, e.g. climate change means investments in coal-fired power plants are no longer allowed, or </w:t>
            </w:r>
          </w:p>
          <w:p w14:paraId="2BF70C39"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o The economy and society develop and the government’s regulatory capacity increases (e.g. the government can now analyses environmental impact assessments, so it begins to require them for mining permits), or </w:t>
            </w:r>
          </w:p>
          <w:p w14:paraId="3F9CB96E"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o The government’s policies change (including when a new government is formed)</w:t>
            </w:r>
          </w:p>
        </w:tc>
      </w:tr>
      <w:tr w:rsidR="00A972E0" w:rsidRPr="004E1296" w14:paraId="48A5E627" w14:textId="77777777" w:rsidTr="00A972E0">
        <w:tc>
          <w:tcPr>
            <w:tcW w:w="2515" w:type="dxa"/>
            <w:shd w:val="clear" w:color="auto" w:fill="auto"/>
          </w:tcPr>
          <w:p w14:paraId="7A61CB2E"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IF is analogous to the WTO’s Trade Facilitation Agreement (TFA). IF would entail few costs for Members and be win-win</w:t>
            </w:r>
          </w:p>
        </w:tc>
        <w:tc>
          <w:tcPr>
            <w:tcW w:w="6545" w:type="dxa"/>
            <w:shd w:val="clear" w:color="auto" w:fill="auto"/>
          </w:tcPr>
          <w:p w14:paraId="14BC9B39"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a) The TFA was about facilitating trade in goods. Developing countries and LDCs also export products and could theoretically benefit from the TFA (although see below). However most developing countries and LDCs are net capital importers, i.e. they do not have companies investing abroad which face barriers. So while the beneficiaries of the TFA are theoretically all WTO Members since they all export products, the beneficiaries of IF would be the net capital exporters, which are generally not developing countries/LDCs. (Since if a country wants to facilitate FDI, they can do it unilaterally tomorrow without being locked into the restrictions on regulation proposed in the IF rules at the WTO). </w:t>
            </w:r>
          </w:p>
          <w:p w14:paraId="229BA8C2"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b) The TFA basically exported the systems already in place in developed countries, so they had no costs of compliance and there were unlikely to be any increased exports from developing countries/LDCs into developed countries since developed countries were not required to improve their customs administrations. IF is likely to be the same. Developed countries are already likely to have in place single windows etc. and so they will not face any costs of compliance, while developing countries and LDCs will face all the costs of implementing the IF rules.</w:t>
            </w:r>
          </w:p>
        </w:tc>
      </w:tr>
      <w:tr w:rsidR="00A972E0" w:rsidRPr="004E1296" w14:paraId="23B612DD" w14:textId="77777777" w:rsidTr="00A972E0">
        <w:tc>
          <w:tcPr>
            <w:tcW w:w="2515" w:type="dxa"/>
            <w:shd w:val="clear" w:color="auto" w:fill="auto"/>
          </w:tcPr>
          <w:p w14:paraId="1F7B518B"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WTO IF rules would:</w:t>
            </w:r>
          </w:p>
        </w:tc>
        <w:tc>
          <w:tcPr>
            <w:tcW w:w="6545" w:type="dxa"/>
            <w:shd w:val="clear" w:color="auto" w:fill="auto"/>
          </w:tcPr>
          <w:p w14:paraId="58F40023" w14:textId="77777777" w:rsidR="00A972E0" w:rsidRPr="004E1296" w:rsidRDefault="00A972E0" w:rsidP="00707783">
            <w:pPr>
              <w:jc w:val="both"/>
              <w:rPr>
                <w:rFonts w:ascii="Times New Roman" w:hAnsi="Times New Roman" w:cs="Times New Roman"/>
                <w:sz w:val="24"/>
                <w:szCs w:val="24"/>
              </w:rPr>
            </w:pPr>
          </w:p>
        </w:tc>
      </w:tr>
      <w:tr w:rsidR="00A972E0" w:rsidRPr="004E1296" w14:paraId="364CD6F7" w14:textId="77777777" w:rsidTr="00A972E0">
        <w:tc>
          <w:tcPr>
            <w:tcW w:w="2515" w:type="dxa"/>
            <w:shd w:val="clear" w:color="auto" w:fill="auto"/>
          </w:tcPr>
          <w:p w14:paraId="1AFE5B17"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a) Minimize transaction costs making it easier for investors to invest</w:t>
            </w:r>
          </w:p>
        </w:tc>
        <w:tc>
          <w:tcPr>
            <w:tcW w:w="6545" w:type="dxa"/>
            <w:shd w:val="clear" w:color="auto" w:fill="auto"/>
          </w:tcPr>
          <w:p w14:paraId="2AF93AA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This could be done tomorrow unilaterally without WTO IF rules if governments felt the benefits outweighed the costs (e.g. of removing other regulations such as environmental regulations etc.)</w:t>
            </w:r>
          </w:p>
        </w:tc>
      </w:tr>
      <w:tr w:rsidR="00A972E0" w:rsidRPr="004E1296" w14:paraId="7C2BC25F" w14:textId="77777777" w:rsidTr="00A972E0">
        <w:tc>
          <w:tcPr>
            <w:tcW w:w="2515" w:type="dxa"/>
            <w:shd w:val="clear" w:color="auto" w:fill="auto"/>
          </w:tcPr>
          <w:p w14:paraId="3CDF8C96"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b) Locking it in at the WTO sends a positive signal to investors</w:t>
            </w:r>
          </w:p>
        </w:tc>
        <w:tc>
          <w:tcPr>
            <w:tcW w:w="6545" w:type="dxa"/>
            <w:shd w:val="clear" w:color="auto" w:fill="auto"/>
          </w:tcPr>
          <w:p w14:paraId="67211B9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As noted in the Annex below, this is not a significant attractor of FDI.</w:t>
            </w:r>
          </w:p>
        </w:tc>
      </w:tr>
      <w:tr w:rsidR="00A972E0" w:rsidRPr="004E1296" w14:paraId="2DF5EDE2" w14:textId="77777777" w:rsidTr="00A972E0">
        <w:tc>
          <w:tcPr>
            <w:tcW w:w="2515" w:type="dxa"/>
            <w:shd w:val="clear" w:color="auto" w:fill="auto"/>
          </w:tcPr>
          <w:p w14:paraId="35CCACE6"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 xml:space="preserve">Linking IF to Members” ability to implement them thereby ensuring they receive the technical </w:t>
            </w:r>
            <w:r w:rsidRPr="004E1296">
              <w:rPr>
                <w:rFonts w:ascii="Times New Roman" w:hAnsi="Times New Roman" w:cs="Times New Roman"/>
                <w:sz w:val="24"/>
                <w:szCs w:val="24"/>
              </w:rPr>
              <w:lastRenderedPageBreak/>
              <w:t>assistance and capacity building needed</w:t>
            </w:r>
          </w:p>
        </w:tc>
        <w:tc>
          <w:tcPr>
            <w:tcW w:w="6545" w:type="dxa"/>
            <w:shd w:val="clear" w:color="auto" w:fill="auto"/>
          </w:tcPr>
          <w:p w14:paraId="0811CD19" w14:textId="77777777" w:rsidR="00A972E0" w:rsidRPr="004E1296" w:rsidRDefault="00A972E0" w:rsidP="00707783">
            <w:pPr>
              <w:jc w:val="both"/>
              <w:rPr>
                <w:rFonts w:ascii="Times New Roman" w:hAnsi="Times New Roman" w:cs="Times New Roman"/>
                <w:sz w:val="24"/>
                <w:szCs w:val="24"/>
                <w:vertAlign w:val="superscript"/>
              </w:rPr>
            </w:pPr>
            <w:r w:rsidRPr="004E1296">
              <w:rPr>
                <w:rFonts w:ascii="Times New Roman" w:hAnsi="Times New Roman" w:cs="Times New Roman"/>
                <w:sz w:val="24"/>
                <w:szCs w:val="24"/>
              </w:rPr>
              <w:lastRenderedPageBreak/>
              <w:t xml:space="preserve">The WTO does not have a good track record in this area and the current US Administration seems to expect developing countries </w:t>
            </w:r>
            <w:r w:rsidRPr="004E1296">
              <w:rPr>
                <w:rFonts w:ascii="Times New Roman" w:hAnsi="Times New Roman" w:cs="Times New Roman"/>
                <w:sz w:val="24"/>
                <w:szCs w:val="24"/>
              </w:rPr>
              <w:lastRenderedPageBreak/>
              <w:t>and LDCs to take on the same commitments as the USA, so it is unlikely to agree to this.</w:t>
            </w:r>
            <w:r w:rsidRPr="00071825">
              <w:rPr>
                <w:rStyle w:val="a6"/>
              </w:rPr>
              <w:footnoteReference w:id="15"/>
            </w:r>
          </w:p>
        </w:tc>
      </w:tr>
      <w:tr w:rsidR="00A972E0" w:rsidRPr="004E1296" w14:paraId="1D1D43AE" w14:textId="77777777" w:rsidTr="00A972E0">
        <w:tc>
          <w:tcPr>
            <w:tcW w:w="2515" w:type="dxa"/>
            <w:shd w:val="clear" w:color="auto" w:fill="auto"/>
          </w:tcPr>
          <w:p w14:paraId="4EB3BA9D"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lastRenderedPageBreak/>
              <w:t xml:space="preserve">It </w:t>
            </w:r>
            <w:proofErr w:type="spellStart"/>
            <w:r w:rsidRPr="004E1296">
              <w:rPr>
                <w:rFonts w:ascii="Times New Roman" w:hAnsi="Times New Roman" w:cs="Times New Roman"/>
                <w:sz w:val="24"/>
                <w:szCs w:val="24"/>
              </w:rPr>
              <w:t>doesn”t</w:t>
            </w:r>
            <w:proofErr w:type="spellEnd"/>
            <w:r w:rsidRPr="004E1296">
              <w:rPr>
                <w:rFonts w:ascii="Times New Roman" w:hAnsi="Times New Roman" w:cs="Times New Roman"/>
                <w:sz w:val="24"/>
                <w:szCs w:val="24"/>
              </w:rPr>
              <w:t xml:space="preserve"> make sense to have a single window for 1 trade partner, so the WTO is the logical place</w:t>
            </w:r>
          </w:p>
        </w:tc>
        <w:tc>
          <w:tcPr>
            <w:tcW w:w="6545" w:type="dxa"/>
            <w:shd w:val="clear" w:color="auto" w:fill="auto"/>
          </w:tcPr>
          <w:p w14:paraId="600AE5C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a) Many free trade agreement (FTA) commitments such as stronger intellectual property protection (TRIPS+) are in practice provided to applicants from all countries because it is too difficult logistically to distinguish between those from the FTA Party and other countries b) Many rules are logically agreed at the WTO level, such as disciplines on domestic subsidies in agriculture (since the EU argues that subsidies to an Irish beef farmer who exports to 30 countries can only be disciplined at the WTO because the EU cannot stop subsidizing only the cows that are exported to the other FTA Party). However just because it is logical, does not mean it has occurred. Disciplines on agricultural domestic subsidies, clearly a trade issue, still have not been agreed at the WTO.</w:t>
            </w:r>
          </w:p>
        </w:tc>
      </w:tr>
      <w:tr w:rsidR="00A972E0" w:rsidRPr="004E1296" w14:paraId="35097E00" w14:textId="77777777" w:rsidTr="00A972E0">
        <w:tc>
          <w:tcPr>
            <w:tcW w:w="2515" w:type="dxa"/>
            <w:shd w:val="clear" w:color="auto" w:fill="auto"/>
          </w:tcPr>
          <w:p w14:paraId="06BA3BE3"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Footnote: the WTO initiative does not address investment liberalization, investment protection and investor-state dispute settlement (ISDS)</w:t>
            </w:r>
          </w:p>
        </w:tc>
        <w:tc>
          <w:tcPr>
            <w:tcW w:w="6545" w:type="dxa"/>
            <w:shd w:val="clear" w:color="auto" w:fill="auto"/>
          </w:tcPr>
          <w:p w14:paraId="3198267E" w14:textId="77777777" w:rsidR="00A972E0" w:rsidRPr="004E1296" w:rsidRDefault="00A972E0" w:rsidP="00707783">
            <w:pPr>
              <w:jc w:val="both"/>
              <w:rPr>
                <w:rFonts w:ascii="Times New Roman" w:hAnsi="Times New Roman" w:cs="Times New Roman"/>
                <w:sz w:val="24"/>
                <w:szCs w:val="24"/>
              </w:rPr>
            </w:pPr>
            <w:r w:rsidRPr="004E1296">
              <w:rPr>
                <w:rFonts w:ascii="Times New Roman" w:hAnsi="Times New Roman" w:cs="Times New Roman"/>
                <w:sz w:val="24"/>
                <w:szCs w:val="24"/>
              </w:rPr>
              <w:t>Despite this claim, some IF proposals such as Russia’s, explicitly states that a major element of future investment rules is expansion to market access and treatment for investments.</w:t>
            </w:r>
            <w:r w:rsidRPr="00071825">
              <w:rPr>
                <w:rStyle w:val="a6"/>
              </w:rPr>
              <w:footnoteReference w:id="16"/>
            </w:r>
            <w:r w:rsidRPr="004E1296">
              <w:rPr>
                <w:rFonts w:ascii="Times New Roman" w:hAnsi="Times New Roman" w:cs="Times New Roman"/>
                <w:sz w:val="24"/>
                <w:szCs w:val="24"/>
              </w:rPr>
              <w:t xml:space="preserve"> “Treatment for investments” includes investor protection such as fair and equitable treatment and expropriation.</w:t>
            </w:r>
          </w:p>
        </w:tc>
      </w:tr>
    </w:tbl>
    <w:p w14:paraId="483391C1" w14:textId="77777777" w:rsidR="00A972E0" w:rsidRDefault="00A972E0" w:rsidP="00A972E0">
      <w:pPr>
        <w:tabs>
          <w:tab w:val="left" w:pos="644"/>
        </w:tabs>
        <w:spacing w:line="0" w:lineRule="atLeast"/>
        <w:rPr>
          <w:rFonts w:ascii="Times New Roman" w:eastAsia="Times New Roman" w:hAnsi="Times New Roman" w:cs="Times New Roman"/>
          <w:b/>
          <w:sz w:val="32"/>
        </w:rPr>
      </w:pPr>
    </w:p>
    <w:p w14:paraId="7D6B6516"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FIFD paper presents the key to the FIFD proposal: “What is the focus and purpose of Investment Facilitation?” </w:t>
      </w:r>
    </w:p>
    <w:p w14:paraId="1C12043E"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The language of “efficient, transparent and investment-friendly business climate” mirrors the proposed domestic regulation disciplines by promoting pro-investor regulation, active roles for foreign investors in decision making on regulation and specific investments, and streamlined timelines and processes. </w:t>
      </w:r>
    </w:p>
    <w:p w14:paraId="7A396CC0"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But it goes much further by “making it easier to invest, conduct business, and expand existing businesses” – which parallels the rules in existing investment agreements that apply to establish, conduct and expand an investment. </w:t>
      </w:r>
    </w:p>
    <w:p w14:paraId="080E04BA"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xml:space="preserve">• The goal to promote “clear, efficient, predictable, and fair” implementation and administration of national investment policies again echoes the domestic regulation proposals. Worse, predictability and fairness are key elements of the fair and equitable treatment provisions of investment agreements that investors principally rely on to sue and which are the opaquest and controversial. Similar terminology on page 5 says a “transparent, stable and predictable regulatory environment” is a priority for investors. That correlates precisely with </w:t>
      </w:r>
      <w:r w:rsidRPr="004E1296">
        <w:rPr>
          <w:rFonts w:ascii="Times New Roman" w:hAnsi="Times New Roman" w:cs="Times New Roman"/>
          <w:sz w:val="24"/>
          <w:szCs w:val="24"/>
        </w:rPr>
        <w:lastRenderedPageBreak/>
        <w:t xml:space="preserve">the way foreign investors describe the substance of the fair and equitable treatment rule. </w:t>
      </w:r>
    </w:p>
    <w:p w14:paraId="1CD81A88"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Simplifying and speeding up processes and removing red tape has superficial merit, but it also privileges light-handed pro-business regulation, single window processes that marginalize other ministries with legitimate concerns regarding an investment, and imposing time pressures on agencies with limited resources to reach a favorable decision.</w:t>
      </w:r>
    </w:p>
    <w:p w14:paraId="297E8768"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The notion of barriers to entry for investors is code for domestic regulations that investors do not like. But a regulation that an investor considers an obstacle is not per se undesirable. Regulations serve multiple national policy objectives on the environment, indigenous rights, employment, economic and regional development, social wellbeing, security, economic stability.</w:t>
      </w:r>
    </w:p>
    <w:p w14:paraId="761D7CDD"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xml:space="preserve">This assessment is reinforced by the specific aims: </w:t>
      </w:r>
    </w:p>
    <w:p w14:paraId="644C338D"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Improving transparency and predictability of investment measures. The description of what this means is quite restrictive, but experience in the WTO shows that meanings are in the eye of the beholder (or the Member with offensive interests)</w:t>
      </w:r>
      <w:r>
        <w:rPr>
          <w:rFonts w:ascii="Times New Roman" w:hAnsi="Times New Roman" w:cs="Times New Roman"/>
          <w:sz w:val="24"/>
          <w:szCs w:val="24"/>
        </w:rPr>
        <w:t xml:space="preserve">. </w:t>
      </w:r>
      <w:r w:rsidRPr="004E1296">
        <w:rPr>
          <w:rFonts w:ascii="Times New Roman" w:hAnsi="Times New Roman" w:cs="Times New Roman"/>
          <w:sz w:val="24"/>
          <w:szCs w:val="24"/>
        </w:rPr>
        <w:t xml:space="preserve"> </w:t>
      </w:r>
    </w:p>
    <w:p w14:paraId="5A629F6F"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xml:space="preserve">• Streamlining and speeding up administrative procedures. This refers explicitly to reducing discretions, presumably including references to national interest tests that require subjective evaluations and weighing or a range of factors. It also requires significant investment in computer processing systems. </w:t>
      </w:r>
    </w:p>
    <w:p w14:paraId="148B3ECB"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Strengthening stakeholder cooperation and consultation. In practice, the “consultation and dialogue” are opportunities for investors and their home states to pressure host governments and respond to unlimited requests for information. Examples where Corporate Social Responsibility have been incorporated into agreements (e.g. TPP Article 9,17) only require the government to encourage investors voluntarily to adopt internationally recognized standards that the host country has endorsed.</w:t>
      </w:r>
    </w:p>
    <w:p w14:paraId="3CF4A094"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If the WTO is committed to evidence based policy making it needs to justify these assertions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{"citationItems":[{"id":"ITEM-1","itemData":{"DOI":"10.33619/2414-2948/40/36","author":[{"dropping-particle":"","family":"Bekimbetova","given":"G.","non-dropping-particle":"","parse-names":false,"suffix":""}],"container-title":"Bulletin of Science and Practice","id":"ITEM-1","issued":{"date-parts":[["2019"]]},"title":"General methods of analysis in decision-making and selection efficiency of investment projects","type":"article-journal"},"uris":["http://www.mendeley.com/documents/?uuid=d56a6ce5-0d21-470f-98f4-cabd88ac596e","http://www.mendeley.com/documents/?uuid=0fec5e01-b2db-427f-b448-7d08414e5b73"]}],"mendeley":{"formattedCitation":"(G. Bekimbetova, 2019)","plainTextFormattedCitation":"(G. Bekimbetova, 2019)","previouslyFormattedCitation":"(G. Bekimbetova, 2019)"},"properties":{"noteIndex":0},"schema":"https://github.com/citation-style-language/schema/raw/master/csl-citation.json"}</w:instrText>
      </w:r>
      <w:r>
        <w:rPr>
          <w:rFonts w:ascii="Times New Roman" w:hAnsi="Times New Roman" w:cs="Times New Roman"/>
          <w:sz w:val="24"/>
          <w:szCs w:val="24"/>
        </w:rPr>
        <w:fldChar w:fldCharType="separate"/>
      </w:r>
      <w:r w:rsidRPr="00FE7C64">
        <w:rPr>
          <w:rFonts w:ascii="Times New Roman" w:hAnsi="Times New Roman" w:cs="Times New Roman"/>
          <w:noProof/>
          <w:sz w:val="24"/>
          <w:szCs w:val="24"/>
        </w:rPr>
        <w:t>(G. Bekimbetova, 2019)</w:t>
      </w:r>
      <w:r>
        <w:rPr>
          <w:rFonts w:ascii="Times New Roman" w:hAnsi="Times New Roman" w:cs="Times New Roman"/>
          <w:sz w:val="24"/>
          <w:szCs w:val="24"/>
        </w:rPr>
        <w:fldChar w:fldCharType="end"/>
      </w:r>
      <w:r w:rsidRPr="004E1296">
        <w:rPr>
          <w:rFonts w:ascii="Times New Roman" w:hAnsi="Times New Roman" w:cs="Times New Roman"/>
          <w:sz w:val="24"/>
          <w:szCs w:val="24"/>
        </w:rPr>
        <w:t>. It also ignores the option for governments to liberalize unilaterally. Arguments that bargains over commitments should be replaced by cooperation to find solutions to shared challenges ignores the reality that the WTO has capital importing and capital exporting members, largely aligned on a North South basis, and empowerment of foreign investors but no other communities in the host state who are affected by the investments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{"citationItems":[{"id":"ITEM-1","itemData":{"DOI":"10.21474/ijar01/12480","abstract":"This work discusses the theory and strategies of finance. Financing strategies are essential factorsthat play significant roles during the lifetime of a client to assist clients inmeeting financial goals such as education planning, investment planning,retirement savings, and income planning.With an uncertain economy, afinancial planner is needed to help consumers prioritize their finances to achieve longâ€term financial stability throughout these tough times. Thereare numerous options for financing financial goals. These various optionsoften make financial management much more difficult for a client. As part ofthe financial planning process, recognizing and evaluating financing strategiesis of the utmost importance in helping clients set and achieve shortâ€term andlongâ€term goals. This recognition will also aid clients in their financial decision-making and provide a consistent track to meet these financial goals. Afinancial planner should stress the importance of financing strategies, includingcash flow management, debt management, borrowing, and financial goals. The author tries to explain the given topic wider by eliciting several examples and charts as well.","author":[{"dropping-particle":"","family":"Raya Khajibaevna","given":"Karlibaeva","non-dropping-particle":"","parse-names":false,"suffix":""}],"container-title":"International Journal of Advanced Research","id":"ITEM-1","issued":{"date-parts":[["2021"]]},"title":"THEORY OF FINANCE AND FINANCING STRATEGIES","type":"article-journal"},"uris":["http://www.mendeley.com/documents/?uuid=09013ade-d8c7-4929-9ab9-3660b6ce01b2"]}],"mendeley":{"formattedCitation":"(Raya Khajibaevna, 2021)","plainTextFormattedCitation":"(Raya Khajibaevna, 2021)","previouslyFormattedCitation":"(Raya Khajibaevna, 2021)"},"properties":{"noteIndex":0},"schema":"https://github.com/citation-style-language/schema/raw/master/csl-citation.json"}</w:instrText>
      </w:r>
      <w:r>
        <w:rPr>
          <w:rFonts w:ascii="Times New Roman" w:hAnsi="Times New Roman" w:cs="Times New Roman"/>
          <w:sz w:val="24"/>
          <w:szCs w:val="24"/>
        </w:rPr>
        <w:fldChar w:fldCharType="separate"/>
      </w:r>
      <w:r w:rsidRPr="00B30EEF">
        <w:rPr>
          <w:rFonts w:ascii="Times New Roman" w:hAnsi="Times New Roman" w:cs="Times New Roman"/>
          <w:noProof/>
          <w:sz w:val="24"/>
          <w:szCs w:val="24"/>
        </w:rPr>
        <w:t>(Raya Khajibaevna, 2021)</w:t>
      </w:r>
      <w:r>
        <w:rPr>
          <w:rFonts w:ascii="Times New Roman" w:hAnsi="Times New Roman" w:cs="Times New Roman"/>
          <w:sz w:val="24"/>
          <w:szCs w:val="24"/>
        </w:rPr>
        <w:fldChar w:fldCharType="end"/>
      </w:r>
      <w:r w:rsidRPr="004E1296">
        <w:rPr>
          <w:rFonts w:ascii="Times New Roman" w:hAnsi="Times New Roman" w:cs="Times New Roman"/>
          <w:sz w:val="24"/>
          <w:szCs w:val="24"/>
        </w:rPr>
        <w:t>. The concrete mechanisms on page 6 confirm the intention to impose some of the standard investment rules:</w:t>
      </w:r>
    </w:p>
    <w:p w14:paraId="0FC11566"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lastRenderedPageBreak/>
        <w:t xml:space="preserve">• “Global benchmarks” suggest global harmonization of regulatory regimes and processes for foreign investment, at least through common rules, which removes flexibility and regulatory sovereignty from individual governments; </w:t>
      </w:r>
    </w:p>
    <w:p w14:paraId="7D5EB667"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Domestic “facilitation” reforms would be subject to ‘shared international commitments” to ‘strengthen Members” reform efforts”, “decrease policy uncertainty” and ‘send a positive message to investors”. Decoded, that means binding WTO rules on investment that constrain Member’s policy space and lock them in to regulatory settings and processes. </w:t>
      </w:r>
    </w:p>
    <w:p w14:paraId="35889125"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Providing technical assistance and capacity building to implement the framework, even if that did occur, is counter-productive if the substance if the framework is flawed.</w:t>
      </w:r>
    </w:p>
    <w:p w14:paraId="5334F881"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Studies find that bilateral investment treaties (BITs) are not proven to attract foreign direct investment (FDI) – some examples: </w:t>
      </w:r>
    </w:p>
    <w:p w14:paraId="322E5251"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An UNCTAD study found that: “results do not support the hypothesis that BITs foster bilateral FDI. . . Thus developing-country policymakers should not assume that signing up to BITs will boost FDI.” </w:t>
      </w:r>
      <w:r w:rsidRPr="00071825">
        <w:rPr>
          <w:rStyle w:val="a6"/>
        </w:rPr>
        <w:footnoteReference w:id="17"/>
      </w:r>
    </w:p>
    <w:p w14:paraId="3618C505"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According to a World Bank study (2011)</w:t>
      </w:r>
      <w:r w:rsidRPr="00071825">
        <w:rPr>
          <w:rStyle w:val="a6"/>
        </w:rPr>
        <w:footnoteReference w:id="18"/>
      </w:r>
      <w:r w:rsidRPr="004E1296">
        <w:rPr>
          <w:rFonts w:ascii="Times New Roman" w:hAnsi="Times New Roman" w:cs="Times New Roman"/>
          <w:sz w:val="24"/>
          <w:szCs w:val="24"/>
        </w:rPr>
        <w:t>: “both a review of the empirical literature and analysis using new data sources suggest that business opportunities - as represented by, for example, the size and growth potential of markets - are by far the most powerful determinants of FDI”.</w:t>
      </w:r>
    </w:p>
    <w:p w14:paraId="6F4B1141"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World Bank when assessing the impact of a multilateral investment agreement: “merely creating new protections does not seem to be strongly associated with increased investment flows. For these reasons, the overall additional stimulus of multilateral rules that apply to new investment over and above unilateral reforms would probably be small – and virtually nonexistent for low-income developing countries.” </w:t>
      </w:r>
      <w:r w:rsidRPr="00071825">
        <w:rPr>
          <w:rStyle w:val="a6"/>
        </w:rPr>
        <w:footnoteReference w:id="19"/>
      </w:r>
      <w:r w:rsidRPr="004E1296">
        <w:rPr>
          <w:rFonts w:ascii="Times New Roman" w:hAnsi="Times New Roman" w:cs="Times New Roman"/>
          <w:sz w:val="24"/>
          <w:szCs w:val="24"/>
        </w:rPr>
        <w:t xml:space="preserve"> </w:t>
      </w:r>
    </w:p>
    <w:p w14:paraId="2DE1CC8C"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Noting the findings of a survey of FDI flows from OECD members to 31 developing countries over 20 years, as well as previous UNCTAD research, the World Bank acknowledges, “Countries that had concluded a BIT were no more likely to receive additional FDI than were countries without such a pact.”</w:t>
      </w:r>
      <w:r w:rsidRPr="00071825">
        <w:rPr>
          <w:rStyle w:val="a6"/>
        </w:rPr>
        <w:footnoteReference w:id="20"/>
      </w:r>
    </w:p>
    <w:p w14:paraId="4A70D9EB"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lastRenderedPageBreak/>
        <w:t>• Studies</w:t>
      </w:r>
      <w:r w:rsidRPr="00071825">
        <w:rPr>
          <w:rStyle w:val="a6"/>
        </w:rPr>
        <w:footnoteReference w:id="21"/>
      </w:r>
      <w:r w:rsidRPr="004E1296">
        <w:rPr>
          <w:rFonts w:ascii="Times New Roman" w:hAnsi="Times New Roman" w:cs="Times New Roman"/>
          <w:sz w:val="24"/>
          <w:szCs w:val="24"/>
        </w:rPr>
        <w:t xml:space="preserve"> show that issues of primary concern to investors include: size and growth potential of markets, infrastructure development, and availability of resources (natural and abundant labor). </w:t>
      </w:r>
    </w:p>
    <w:p w14:paraId="6664FC03"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A survey of investment determinants across 30 African countries identified the regulatory and legal framework as having a negative impact on investment decisions in under 5% of cases.</w:t>
      </w:r>
      <w:r w:rsidRPr="00071825">
        <w:rPr>
          <w:rStyle w:val="a6"/>
        </w:rPr>
        <w:footnoteReference w:id="22"/>
      </w:r>
      <w:r w:rsidRPr="004E1296">
        <w:rPr>
          <w:rFonts w:ascii="Times New Roman" w:hAnsi="Times New Roman" w:cs="Times New Roman"/>
          <w:sz w:val="24"/>
          <w:szCs w:val="24"/>
        </w:rPr>
        <w:t xml:space="preserve"> </w:t>
      </w:r>
    </w:p>
    <w:p w14:paraId="4B24F1A8"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Similarly, a 2011 survey of 19 African countries including Nigeria found that whether there was an investment or double taxation treaty was the 10th most important factor (out of 12 factors listed) that foreign investors considered when deciding where to invest.</w:t>
      </w:r>
      <w:r w:rsidRPr="00071825">
        <w:rPr>
          <w:rStyle w:val="a6"/>
        </w:rPr>
        <w:footnoteReference w:id="23"/>
      </w:r>
    </w:p>
    <w:p w14:paraId="63578974"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See also literature reviews and interviews and surveys of government officials, investors, risk insurers, risk rating agencies </w:t>
      </w:r>
      <w:proofErr w:type="spellStart"/>
      <w:r w:rsidRPr="004E1296">
        <w:rPr>
          <w:rFonts w:ascii="Times New Roman" w:hAnsi="Times New Roman" w:cs="Times New Roman"/>
          <w:sz w:val="24"/>
          <w:szCs w:val="24"/>
        </w:rPr>
        <w:t>etc</w:t>
      </w:r>
      <w:proofErr w:type="spellEnd"/>
      <w:r w:rsidRPr="004E1296">
        <w:rPr>
          <w:rFonts w:ascii="Times New Roman" w:hAnsi="Times New Roman" w:cs="Times New Roman"/>
          <w:sz w:val="24"/>
          <w:szCs w:val="24"/>
        </w:rPr>
        <w:t xml:space="preserve"> that show they do not generally check whether there is an investment treaty before deciding whether to invest/give a risk rating/provide political risk insurance.</w:t>
      </w:r>
      <w:r w:rsidRPr="00071825">
        <w:rPr>
          <w:rStyle w:val="a6"/>
        </w:rPr>
        <w:footnoteReference w:id="24"/>
      </w:r>
    </w:p>
    <w:p w14:paraId="304115A9"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UNCTAD concluded, on the basis of its assessment of the impact of GATS commitments on foreign investment, “There is no empirical evidence to link any significant increase in FDI flows to developing countries with the conclusion of GATS.”</w:t>
      </w:r>
      <w:r w:rsidRPr="00071825">
        <w:rPr>
          <w:rStyle w:val="a6"/>
        </w:rPr>
        <w:footnoteReference w:id="25"/>
      </w:r>
    </w:p>
    <w:p w14:paraId="4BE8CB29"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The experience of countries reforming investment protection treaties</w:t>
      </w:r>
    </w:p>
    <w:p w14:paraId="3CC6CAC6"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Foreign investors are offered protections via a web of international investment protection treaties, which currently amount to more than 3000 agreements, and offer broad standards of protections. </w:t>
      </w:r>
    </w:p>
    <w:p w14:paraId="315DD078"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Countries that attempted to redress the proven imbalance in the investment treaty regime have been faced by severe scrutiny by the guards of the status quo. However, their experiences show that even after they took steps to withdraw from the international investment treaty regime or revise their commitments under international investment treaties, they remained growing markets attracting foreign investments.</w:t>
      </w:r>
    </w:p>
    <w:p w14:paraId="77134A75"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For example:</w:t>
      </w:r>
    </w:p>
    <w:p w14:paraId="3A1C538E" w14:textId="77777777" w:rsidR="00A972E0" w:rsidRPr="004E1296" w:rsidRDefault="00A972E0" w:rsidP="00A972E0">
      <w:pPr>
        <w:widowControl w:val="0"/>
        <w:spacing w:line="360" w:lineRule="auto"/>
        <w:ind w:firstLine="1166"/>
        <w:jc w:val="both"/>
        <w:rPr>
          <w:rFonts w:ascii="Times New Roman" w:hAnsi="Times New Roman" w:cs="Times New Roman"/>
          <w:sz w:val="24"/>
          <w:szCs w:val="24"/>
        </w:rPr>
      </w:pPr>
      <w:r w:rsidRPr="004E1296">
        <w:rPr>
          <w:rFonts w:ascii="Times New Roman" w:hAnsi="Times New Roman" w:cs="Times New Roman"/>
          <w:sz w:val="24"/>
          <w:szCs w:val="24"/>
        </w:rPr>
        <w:t xml:space="preserve">• Situation in South Africa: South Africa commenced in terminating BITs after a </w:t>
      </w:r>
      <w:r w:rsidRPr="004E1296">
        <w:rPr>
          <w:rFonts w:ascii="Times New Roman" w:hAnsi="Times New Roman" w:cs="Times New Roman"/>
          <w:sz w:val="24"/>
          <w:szCs w:val="24"/>
        </w:rPr>
        <w:lastRenderedPageBreak/>
        <w:t xml:space="preserve">cabinet review undertaken in 2009. South Africa remains a top receiver of FDI on the African continent; it was ranked by UNCTAD as the top recipient of FDI inflows among the African countries in 2013. </w:t>
      </w:r>
    </w:p>
    <w:p w14:paraId="6BBE3B89" w14:textId="77777777" w:rsidR="00A972E0" w:rsidRPr="004E1296"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Situation in Bolivia: In 2006, Bolivia started to systematically withdraw from every BIT that reached its expiration date. In May 2013, Bolivia collectively denounced all its remaining BITs. Concurrently, FDI inflows into Bolivia have steadily increased, reaching an unprecedented peak of US$1.75 billion in 2013.</w:t>
      </w:r>
    </w:p>
    <w:p w14:paraId="7BFEE583" w14:textId="77777777" w:rsidR="00A972E0" w:rsidRDefault="00A972E0" w:rsidP="00A972E0">
      <w:pPr>
        <w:spacing w:line="360" w:lineRule="auto"/>
        <w:ind w:firstLine="1170"/>
        <w:jc w:val="both"/>
        <w:rPr>
          <w:rFonts w:ascii="Times New Roman" w:hAnsi="Times New Roman" w:cs="Times New Roman"/>
          <w:sz w:val="24"/>
          <w:szCs w:val="24"/>
        </w:rPr>
      </w:pPr>
      <w:r w:rsidRPr="004E1296">
        <w:rPr>
          <w:rFonts w:ascii="Times New Roman" w:hAnsi="Times New Roman" w:cs="Times New Roman"/>
          <w:sz w:val="24"/>
          <w:szCs w:val="24"/>
        </w:rPr>
        <w:t xml:space="preserve">• Situation in Brazil: Brazil had negotiated 14 BITs, however these agreements were not approved and ratified by its Congress due to the imbalance of the agreements and their impact on the state’s right to regulate. Brazil remained one of the highest receivers of FDI, and was ranked the 5 </w:t>
      </w:r>
      <w:proofErr w:type="spellStart"/>
      <w:r w:rsidRPr="004E1296">
        <w:rPr>
          <w:rFonts w:ascii="Times New Roman" w:hAnsi="Times New Roman" w:cs="Times New Roman"/>
          <w:sz w:val="24"/>
          <w:szCs w:val="24"/>
        </w:rPr>
        <w:t>th</w:t>
      </w:r>
      <w:proofErr w:type="spellEnd"/>
      <w:r w:rsidRPr="004E1296">
        <w:rPr>
          <w:rFonts w:ascii="Times New Roman" w:hAnsi="Times New Roman" w:cs="Times New Roman"/>
          <w:sz w:val="24"/>
          <w:szCs w:val="24"/>
        </w:rPr>
        <w:t xml:space="preserve"> largest recipient of FDI in the world in 2013. </w:t>
      </w:r>
      <w:r w:rsidRPr="00071825">
        <w:rPr>
          <w:rStyle w:val="a6"/>
        </w:rPr>
        <w:footnoteReference w:id="26"/>
      </w:r>
    </w:p>
    <w:p w14:paraId="7CB7BE69" w14:textId="77777777" w:rsidR="00A972E0" w:rsidRDefault="00A972E0" w:rsidP="00A972E0">
      <w:pPr>
        <w:spacing w:line="360" w:lineRule="auto"/>
        <w:ind w:firstLine="1170"/>
        <w:jc w:val="both"/>
        <w:rPr>
          <w:rFonts w:ascii="Times New Roman" w:hAnsi="Times New Roman" w:cs="Times New Roman"/>
          <w:sz w:val="24"/>
          <w:szCs w:val="24"/>
        </w:rPr>
      </w:pPr>
    </w:p>
    <w:p w14:paraId="3010AAAC" w14:textId="77777777" w:rsidR="00A972E0" w:rsidRPr="00A95A9A" w:rsidRDefault="00A972E0" w:rsidP="00A972E0">
      <w:pPr>
        <w:widowControl w:val="0"/>
        <w:autoSpaceDE w:val="0"/>
        <w:autoSpaceDN w:val="0"/>
        <w:adjustRightInd w:val="0"/>
        <w:ind w:firstLine="1170"/>
        <w:rPr>
          <w:rFonts w:ascii="Times New Roman" w:hAnsi="Times New Roman" w:cs="Times New Roman"/>
          <w:b/>
          <w:sz w:val="24"/>
          <w:szCs w:val="24"/>
          <w:lang w:val="ru-RU"/>
        </w:rPr>
      </w:pPr>
      <w:r>
        <w:rPr>
          <w:rFonts w:ascii="Times New Roman" w:hAnsi="Times New Roman" w:cs="Times New Roman"/>
          <w:b/>
          <w:sz w:val="24"/>
          <w:szCs w:val="24"/>
        </w:rPr>
        <w:t>References</w:t>
      </w:r>
      <w:r>
        <w:rPr>
          <w:rFonts w:ascii="Times New Roman" w:hAnsi="Times New Roman" w:cs="Times New Roman"/>
          <w:b/>
          <w:sz w:val="24"/>
          <w:szCs w:val="24"/>
          <w:lang w:val="ru-RU"/>
        </w:rPr>
        <w:t>:</w:t>
      </w:r>
    </w:p>
    <w:p w14:paraId="0A704AF3" w14:textId="77777777" w:rsidR="00A972E0" w:rsidRDefault="00A972E0" w:rsidP="00A972E0">
      <w:pPr>
        <w:widowControl w:val="0"/>
        <w:autoSpaceDE w:val="0"/>
        <w:autoSpaceDN w:val="0"/>
        <w:adjustRightInd w:val="0"/>
        <w:ind w:left="480" w:firstLine="1170"/>
        <w:rPr>
          <w:rFonts w:ascii="Times New Roman" w:hAnsi="Times New Roman" w:cs="Times New Roman"/>
          <w:sz w:val="24"/>
          <w:szCs w:val="24"/>
        </w:rPr>
      </w:pPr>
    </w:p>
    <w:p w14:paraId="10F8042D" w14:textId="77777777" w:rsidR="00A972E0" w:rsidRPr="003B209D" w:rsidRDefault="00A972E0" w:rsidP="003B209D">
      <w:pPr>
        <w:pStyle w:val="a7"/>
        <w:widowControl w:val="0"/>
        <w:numPr>
          <w:ilvl w:val="0"/>
          <w:numId w:val="7"/>
        </w:numPr>
        <w:tabs>
          <w:tab w:val="left" w:pos="0"/>
        </w:tabs>
        <w:autoSpaceDE w:val="0"/>
        <w:autoSpaceDN w:val="0"/>
        <w:adjustRightInd w:val="0"/>
        <w:spacing w:line="240" w:lineRule="auto"/>
        <w:rPr>
          <w:rFonts w:ascii="Times New Roman" w:hAnsi="Times New Roman"/>
          <w:noProof/>
          <w:sz w:val="20"/>
          <w:szCs w:val="20"/>
        </w:rPr>
      </w:pPr>
      <w:r w:rsidRPr="003B209D">
        <w:rPr>
          <w:rFonts w:ascii="Times New Roman" w:hAnsi="Times New Roman"/>
          <w:sz w:val="20"/>
          <w:szCs w:val="20"/>
        </w:rPr>
        <w:fldChar w:fldCharType="begin" w:fldLock="1"/>
      </w:r>
      <w:r w:rsidRPr="003B209D">
        <w:rPr>
          <w:rFonts w:ascii="Times New Roman" w:hAnsi="Times New Roman"/>
          <w:sz w:val="20"/>
          <w:szCs w:val="20"/>
        </w:rPr>
        <w:instrText xml:space="preserve">ADDIN Mendeley Bibliography CSL_BIBLIOGRAPHY </w:instrText>
      </w:r>
      <w:r w:rsidRPr="003B209D">
        <w:rPr>
          <w:rFonts w:ascii="Times New Roman" w:hAnsi="Times New Roman"/>
          <w:sz w:val="20"/>
          <w:szCs w:val="20"/>
        </w:rPr>
        <w:fldChar w:fldCharType="separate"/>
      </w:r>
      <w:r w:rsidRPr="003B209D">
        <w:rPr>
          <w:rFonts w:ascii="Times New Roman" w:hAnsi="Times New Roman"/>
          <w:noProof/>
          <w:sz w:val="20"/>
          <w:szCs w:val="20"/>
        </w:rPr>
        <w:t xml:space="preserve">Bekimbetova, G. (2019). General methods of analysis in decision-making and selection efficiency of investment projects. </w:t>
      </w:r>
      <w:r w:rsidRPr="003B209D">
        <w:rPr>
          <w:rFonts w:ascii="Times New Roman" w:hAnsi="Times New Roman"/>
          <w:i/>
          <w:iCs/>
          <w:noProof/>
          <w:sz w:val="20"/>
          <w:szCs w:val="20"/>
        </w:rPr>
        <w:t>Bulletin of Science and Practice</w:t>
      </w:r>
      <w:r w:rsidRPr="003B209D">
        <w:rPr>
          <w:rFonts w:ascii="Times New Roman" w:hAnsi="Times New Roman"/>
          <w:noProof/>
          <w:sz w:val="20"/>
          <w:szCs w:val="20"/>
        </w:rPr>
        <w:t>. https://doi.org/10.33619/2414-2948/40/36</w:t>
      </w:r>
    </w:p>
    <w:p w14:paraId="15C4F928" w14:textId="48DC12EE" w:rsidR="00A972E0" w:rsidRPr="003B209D" w:rsidRDefault="00A972E0" w:rsidP="003B209D">
      <w:pPr>
        <w:pStyle w:val="a7"/>
        <w:widowControl w:val="0"/>
        <w:numPr>
          <w:ilvl w:val="0"/>
          <w:numId w:val="7"/>
        </w:numPr>
        <w:autoSpaceDE w:val="0"/>
        <w:autoSpaceDN w:val="0"/>
        <w:adjustRightInd w:val="0"/>
        <w:spacing w:line="240" w:lineRule="auto"/>
        <w:rPr>
          <w:rFonts w:ascii="Times New Roman" w:hAnsi="Times New Roman"/>
          <w:noProof/>
          <w:sz w:val="20"/>
          <w:szCs w:val="20"/>
        </w:rPr>
      </w:pPr>
      <w:r w:rsidRPr="003B209D">
        <w:rPr>
          <w:rFonts w:ascii="Times New Roman" w:hAnsi="Times New Roman"/>
          <w:noProof/>
          <w:sz w:val="20"/>
          <w:szCs w:val="20"/>
        </w:rPr>
        <w:t xml:space="preserve">Bekimbetova, G. (2020). Theoretical Aspects of the Methods and Goals in Assessment of Young Leaders. </w:t>
      </w:r>
      <w:r w:rsidRPr="003B209D">
        <w:rPr>
          <w:rFonts w:ascii="Times New Roman" w:hAnsi="Times New Roman"/>
          <w:i/>
          <w:iCs/>
          <w:noProof/>
          <w:sz w:val="20"/>
          <w:szCs w:val="20"/>
        </w:rPr>
        <w:t>Bulletin of Science and Practice</w:t>
      </w:r>
      <w:r w:rsidRPr="003B209D">
        <w:rPr>
          <w:rFonts w:ascii="Times New Roman" w:hAnsi="Times New Roman"/>
          <w:noProof/>
          <w:sz w:val="20"/>
          <w:szCs w:val="20"/>
        </w:rPr>
        <w:t>. https://doi.org/10.33619/2414-2948/54/45</w:t>
      </w:r>
    </w:p>
    <w:p w14:paraId="40973FF5" w14:textId="77777777" w:rsidR="00251263" w:rsidRPr="003B209D" w:rsidRDefault="00A972E0"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noProof/>
          <w:sz w:val="20"/>
          <w:szCs w:val="20"/>
        </w:rPr>
        <w:t xml:space="preserve">Bekimbetova, G. M. (2020). EVALUATIONOFTHEEFFICIENCYOFINVESTMENTPROJECTSBYTHEMETHODOFTHECOBBDOUGLASDERIVATIVEFUNCTION. </w:t>
      </w:r>
      <w:r w:rsidRPr="003B209D">
        <w:rPr>
          <w:rFonts w:ascii="Times New Roman" w:hAnsi="Times New Roman"/>
          <w:i/>
          <w:iCs/>
          <w:noProof/>
          <w:sz w:val="20"/>
          <w:szCs w:val="20"/>
        </w:rPr>
        <w:t>EurasianUnionScientists</w:t>
      </w:r>
      <w:r w:rsidRPr="003B209D">
        <w:rPr>
          <w:rFonts w:ascii="Times New Roman" w:hAnsi="Times New Roman"/>
          <w:noProof/>
          <w:sz w:val="20"/>
          <w:szCs w:val="20"/>
        </w:rPr>
        <w:t>. https://doi.org/10.31618/esu.2413-9335.2020.1.74.729</w:t>
      </w:r>
    </w:p>
    <w:p w14:paraId="057D7E56" w14:textId="77777777" w:rsidR="00251263" w:rsidRPr="003B209D" w:rsidRDefault="00251263"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noProof/>
          <w:sz w:val="20"/>
          <w:szCs w:val="20"/>
          <w:lang w:val="ru-RU"/>
        </w:rPr>
        <w:t xml:space="preserve">Бекимбетова Г.М., Шатураев Ж.Н. (2021). </w:t>
      </w:r>
      <w:r w:rsidRPr="003B209D">
        <w:rPr>
          <w:rFonts w:ascii="Times New Roman" w:hAnsi="Times New Roman"/>
          <w:i/>
          <w:iCs/>
          <w:noProof/>
          <w:sz w:val="20"/>
          <w:szCs w:val="20"/>
          <w:lang w:val="ru-RU"/>
        </w:rPr>
        <w:t>Основной показатель эффективности инвестиционных проектов - расчет чистой текущей стоимости</w:t>
      </w:r>
      <w:r w:rsidRPr="003B209D">
        <w:rPr>
          <w:rFonts w:ascii="Times New Roman" w:hAnsi="Times New Roman"/>
          <w:noProof/>
          <w:sz w:val="20"/>
          <w:szCs w:val="20"/>
          <w:lang w:val="ru-RU"/>
        </w:rPr>
        <w:t xml:space="preserve">. </w:t>
      </w:r>
      <w:r w:rsidRPr="003B209D">
        <w:rPr>
          <w:rFonts w:ascii="Times New Roman" w:hAnsi="Times New Roman"/>
          <w:i/>
          <w:iCs/>
          <w:noProof/>
          <w:sz w:val="20"/>
          <w:szCs w:val="20"/>
        </w:rPr>
        <w:t>3</w:t>
      </w:r>
      <w:r w:rsidRPr="003B209D">
        <w:rPr>
          <w:rFonts w:ascii="Times New Roman" w:hAnsi="Times New Roman"/>
          <w:noProof/>
          <w:sz w:val="20"/>
          <w:szCs w:val="20"/>
        </w:rPr>
        <w:t>(77), 6.</w:t>
      </w:r>
    </w:p>
    <w:p w14:paraId="197AB13D" w14:textId="77777777" w:rsidR="003B209D" w:rsidRDefault="00A972E0" w:rsidP="003B209D">
      <w:pPr>
        <w:pStyle w:val="a7"/>
        <w:widowControl w:val="0"/>
        <w:numPr>
          <w:ilvl w:val="0"/>
          <w:numId w:val="7"/>
        </w:numPr>
        <w:tabs>
          <w:tab w:val="left" w:pos="709"/>
        </w:tabs>
        <w:autoSpaceDE w:val="0"/>
        <w:autoSpaceDN w:val="0"/>
        <w:adjustRightInd w:val="0"/>
        <w:spacing w:line="240" w:lineRule="auto"/>
        <w:rPr>
          <w:rFonts w:ascii="Times New Roman" w:hAnsi="Times New Roman"/>
          <w:sz w:val="20"/>
          <w:szCs w:val="20"/>
        </w:rPr>
      </w:pPr>
      <w:r w:rsidRPr="003B209D">
        <w:rPr>
          <w:rFonts w:ascii="Times New Roman" w:hAnsi="Times New Roman"/>
          <w:noProof/>
          <w:sz w:val="20"/>
          <w:szCs w:val="20"/>
        </w:rPr>
        <w:t xml:space="preserve">Raya Khajibaevna, K. (2021). THEORY OF FINANCE AND FINANCING STRATEGIES. </w:t>
      </w:r>
      <w:r w:rsidRPr="003B209D">
        <w:rPr>
          <w:rFonts w:ascii="Times New Roman" w:hAnsi="Times New Roman"/>
          <w:i/>
          <w:iCs/>
          <w:noProof/>
          <w:sz w:val="20"/>
          <w:szCs w:val="20"/>
        </w:rPr>
        <w:t>International Journal of Advanced Research</w:t>
      </w:r>
      <w:r w:rsidRPr="003B209D">
        <w:rPr>
          <w:rFonts w:ascii="Times New Roman" w:hAnsi="Times New Roman"/>
          <w:noProof/>
          <w:sz w:val="20"/>
          <w:szCs w:val="20"/>
        </w:rPr>
        <w:t>. https://doi.org/10.21474/ijar01/12480</w:t>
      </w:r>
      <w:r w:rsidRPr="003B209D">
        <w:rPr>
          <w:rFonts w:ascii="Times New Roman" w:hAnsi="Times New Roman"/>
          <w:sz w:val="20"/>
          <w:szCs w:val="20"/>
        </w:rPr>
        <w:fldChar w:fldCharType="end"/>
      </w:r>
      <w:bookmarkStart w:id="0" w:name="_Hlk87186304"/>
    </w:p>
    <w:p w14:paraId="3D28F5C1"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sz w:val="20"/>
          <w:szCs w:val="20"/>
        </w:rPr>
      </w:pPr>
      <w:r w:rsidRPr="003B209D">
        <w:rPr>
          <w:rFonts w:ascii="Times New Roman" w:hAnsi="Times New Roman"/>
          <w:sz w:val="20"/>
          <w:szCs w:val="20"/>
        </w:rPr>
        <w:fldChar w:fldCharType="begin" w:fldLock="1"/>
      </w:r>
      <w:r w:rsidRPr="003B209D">
        <w:rPr>
          <w:rFonts w:ascii="Times New Roman" w:hAnsi="Times New Roman"/>
          <w:sz w:val="20"/>
          <w:szCs w:val="20"/>
        </w:rPr>
        <w:instrText xml:space="preserve">ADDIN Mendeley Bibliography CSL_BIBLIOGRAPHY </w:instrText>
      </w:r>
      <w:r w:rsidRPr="003B209D">
        <w:rPr>
          <w:rFonts w:ascii="Times New Roman" w:hAnsi="Times New Roman"/>
          <w:sz w:val="20"/>
          <w:szCs w:val="20"/>
        </w:rPr>
        <w:fldChar w:fldCharType="separate"/>
      </w:r>
      <w:r w:rsidRPr="003B209D">
        <w:rPr>
          <w:rFonts w:ascii="Times New Roman" w:hAnsi="Times New Roman"/>
          <w:noProof/>
          <w:sz w:val="20"/>
          <w:szCs w:val="20"/>
        </w:rPr>
        <w:t xml:space="preserve">Shaturaev, J. (2021). Education in Indonesia : Financing , Challenges of Quality and Academic Results in Primary Education. </w:t>
      </w:r>
      <w:r w:rsidRPr="003B209D">
        <w:rPr>
          <w:rFonts w:ascii="Times New Roman" w:hAnsi="Times New Roman"/>
          <w:i/>
          <w:iCs/>
          <w:noProof/>
          <w:sz w:val="20"/>
          <w:szCs w:val="20"/>
          <w:lang w:val="ru-RU"/>
        </w:rPr>
        <w:t>Архив Научных Исследований</w:t>
      </w:r>
      <w:r w:rsidRPr="003B209D">
        <w:rPr>
          <w:rFonts w:ascii="Times New Roman" w:hAnsi="Times New Roman"/>
          <w:noProof/>
          <w:sz w:val="20"/>
          <w:szCs w:val="20"/>
          <w:lang w:val="ru-RU"/>
        </w:rPr>
        <w:t xml:space="preserve">, </w:t>
      </w:r>
      <w:r w:rsidRPr="003B209D">
        <w:rPr>
          <w:rFonts w:ascii="Times New Roman" w:hAnsi="Times New Roman"/>
          <w:i/>
          <w:iCs/>
          <w:noProof/>
          <w:sz w:val="20"/>
          <w:szCs w:val="20"/>
          <w:lang w:val="ru-RU"/>
        </w:rPr>
        <w:t>6</w:t>
      </w:r>
      <w:r w:rsidRPr="003B209D">
        <w:rPr>
          <w:rFonts w:ascii="Times New Roman" w:hAnsi="Times New Roman"/>
          <w:noProof/>
          <w:sz w:val="20"/>
          <w:szCs w:val="20"/>
          <w:lang w:val="ru-RU"/>
        </w:rPr>
        <w:t xml:space="preserve">(6). </w:t>
      </w:r>
      <w:r w:rsidRPr="003B209D">
        <w:rPr>
          <w:rFonts w:ascii="Times New Roman" w:hAnsi="Times New Roman"/>
          <w:noProof/>
          <w:sz w:val="20"/>
          <w:szCs w:val="20"/>
        </w:rPr>
        <w:t>https</w:t>
      </w:r>
      <w:r w:rsidRPr="003B209D">
        <w:rPr>
          <w:rFonts w:ascii="Times New Roman" w:hAnsi="Times New Roman"/>
          <w:noProof/>
          <w:sz w:val="20"/>
          <w:szCs w:val="20"/>
          <w:lang w:val="ru-RU"/>
        </w:rPr>
        <w:t>://</w:t>
      </w:r>
      <w:r w:rsidRPr="003B209D">
        <w:rPr>
          <w:rFonts w:ascii="Times New Roman" w:hAnsi="Times New Roman"/>
          <w:noProof/>
          <w:sz w:val="20"/>
          <w:szCs w:val="20"/>
        </w:rPr>
        <w:t>tsue</w:t>
      </w:r>
      <w:r w:rsidRPr="003B209D">
        <w:rPr>
          <w:rFonts w:ascii="Times New Roman" w:hAnsi="Times New Roman"/>
          <w:noProof/>
          <w:sz w:val="20"/>
          <w:szCs w:val="20"/>
          <w:lang w:val="ru-RU"/>
        </w:rPr>
        <w:t>.</w:t>
      </w:r>
      <w:r w:rsidRPr="003B209D">
        <w:rPr>
          <w:rFonts w:ascii="Times New Roman" w:hAnsi="Times New Roman"/>
          <w:noProof/>
          <w:sz w:val="20"/>
          <w:szCs w:val="20"/>
        </w:rPr>
        <w:t>scienceweb</w:t>
      </w:r>
      <w:r w:rsidRPr="003B209D">
        <w:rPr>
          <w:rFonts w:ascii="Times New Roman" w:hAnsi="Times New Roman"/>
          <w:noProof/>
          <w:sz w:val="20"/>
          <w:szCs w:val="20"/>
          <w:lang w:val="ru-RU"/>
        </w:rPr>
        <w:t>.</w:t>
      </w:r>
      <w:r w:rsidRPr="003B209D">
        <w:rPr>
          <w:rFonts w:ascii="Times New Roman" w:hAnsi="Times New Roman"/>
          <w:noProof/>
          <w:sz w:val="20"/>
          <w:szCs w:val="20"/>
        </w:rPr>
        <w:t>uz</w:t>
      </w:r>
      <w:r w:rsidRPr="003B209D">
        <w:rPr>
          <w:rFonts w:ascii="Times New Roman" w:hAnsi="Times New Roman"/>
          <w:noProof/>
          <w:sz w:val="20"/>
          <w:szCs w:val="20"/>
          <w:lang w:val="ru-RU"/>
        </w:rPr>
        <w:t>/</w:t>
      </w:r>
      <w:r w:rsidRPr="003B209D">
        <w:rPr>
          <w:rFonts w:ascii="Times New Roman" w:hAnsi="Times New Roman"/>
          <w:noProof/>
          <w:sz w:val="20"/>
          <w:szCs w:val="20"/>
        </w:rPr>
        <w:t>index</w:t>
      </w:r>
      <w:r w:rsidRPr="003B209D">
        <w:rPr>
          <w:rFonts w:ascii="Times New Roman" w:hAnsi="Times New Roman"/>
          <w:noProof/>
          <w:sz w:val="20"/>
          <w:szCs w:val="20"/>
          <w:lang w:val="ru-RU"/>
        </w:rPr>
        <w:t>.</w:t>
      </w:r>
      <w:r w:rsidRPr="003B209D">
        <w:rPr>
          <w:rFonts w:ascii="Times New Roman" w:hAnsi="Times New Roman"/>
          <w:noProof/>
          <w:sz w:val="20"/>
          <w:szCs w:val="20"/>
        </w:rPr>
        <w:t>php</w:t>
      </w:r>
      <w:r w:rsidRPr="003B209D">
        <w:rPr>
          <w:rFonts w:ascii="Times New Roman" w:hAnsi="Times New Roman"/>
          <w:noProof/>
          <w:sz w:val="20"/>
          <w:szCs w:val="20"/>
          <w:lang w:val="ru-RU"/>
        </w:rPr>
        <w:t>/</w:t>
      </w:r>
      <w:r w:rsidRPr="003B209D">
        <w:rPr>
          <w:rFonts w:ascii="Times New Roman" w:hAnsi="Times New Roman"/>
          <w:noProof/>
          <w:sz w:val="20"/>
          <w:szCs w:val="20"/>
        </w:rPr>
        <w:t>archive</w:t>
      </w:r>
      <w:r w:rsidRPr="003B209D">
        <w:rPr>
          <w:rFonts w:ascii="Times New Roman" w:hAnsi="Times New Roman"/>
          <w:noProof/>
          <w:sz w:val="20"/>
          <w:szCs w:val="20"/>
          <w:lang w:val="ru-RU"/>
        </w:rPr>
        <w:t>/</w:t>
      </w:r>
      <w:r w:rsidRPr="003B209D">
        <w:rPr>
          <w:rFonts w:ascii="Times New Roman" w:hAnsi="Times New Roman"/>
          <w:noProof/>
          <w:sz w:val="20"/>
          <w:szCs w:val="20"/>
        </w:rPr>
        <w:t>article</w:t>
      </w:r>
      <w:r w:rsidRPr="003B209D">
        <w:rPr>
          <w:rFonts w:ascii="Times New Roman" w:hAnsi="Times New Roman"/>
          <w:noProof/>
          <w:sz w:val="20"/>
          <w:szCs w:val="20"/>
          <w:lang w:val="ru-RU"/>
        </w:rPr>
        <w:t>/</w:t>
      </w:r>
      <w:r w:rsidRPr="003B209D">
        <w:rPr>
          <w:rFonts w:ascii="Times New Roman" w:hAnsi="Times New Roman"/>
          <w:noProof/>
          <w:sz w:val="20"/>
          <w:szCs w:val="20"/>
        </w:rPr>
        <w:t>view</w:t>
      </w:r>
      <w:r w:rsidRPr="003B209D">
        <w:rPr>
          <w:rFonts w:ascii="Times New Roman" w:hAnsi="Times New Roman"/>
          <w:noProof/>
          <w:sz w:val="20"/>
          <w:szCs w:val="20"/>
          <w:lang w:val="ru-RU"/>
        </w:rPr>
        <w:t>/4116</w:t>
      </w:r>
      <w:r w:rsidRPr="003B209D">
        <w:rPr>
          <w:rFonts w:ascii="Times New Roman" w:hAnsi="Times New Roman"/>
          <w:sz w:val="20"/>
          <w:szCs w:val="20"/>
        </w:rPr>
        <w:fldChar w:fldCharType="end"/>
      </w:r>
    </w:p>
    <w:p w14:paraId="3F2EBEDD"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sz w:val="20"/>
          <w:szCs w:val="20"/>
        </w:rPr>
      </w:pPr>
      <w:r w:rsidRPr="003B209D">
        <w:rPr>
          <w:rFonts w:ascii="Times New Roman" w:hAnsi="Times New Roman"/>
          <w:sz w:val="20"/>
          <w:szCs w:val="20"/>
        </w:rPr>
        <w:fldChar w:fldCharType="begin" w:fldLock="1"/>
      </w:r>
      <w:r w:rsidRPr="003B209D">
        <w:rPr>
          <w:rFonts w:ascii="Times New Roman" w:hAnsi="Times New Roman"/>
          <w:sz w:val="20"/>
          <w:szCs w:val="20"/>
        </w:rPr>
        <w:instrText xml:space="preserve">ADDIN Mendeley Bibliography CSL_BIBLIOGRAPHY </w:instrText>
      </w:r>
      <w:r w:rsidRPr="003B209D">
        <w:rPr>
          <w:rFonts w:ascii="Times New Roman" w:hAnsi="Times New Roman"/>
          <w:sz w:val="20"/>
          <w:szCs w:val="20"/>
        </w:rPr>
        <w:fldChar w:fldCharType="separate"/>
      </w:r>
      <w:r w:rsidRPr="003B209D">
        <w:rPr>
          <w:rFonts w:ascii="Times New Roman" w:hAnsi="Times New Roman"/>
          <w:noProof/>
          <w:sz w:val="20"/>
          <w:szCs w:val="20"/>
        </w:rPr>
        <w:t xml:space="preserve">Shaturaev, J. (2014). </w:t>
      </w:r>
      <w:r w:rsidRPr="003B209D">
        <w:rPr>
          <w:rFonts w:ascii="Times New Roman" w:hAnsi="Times New Roman"/>
          <w:i/>
          <w:iCs/>
          <w:noProof/>
          <w:sz w:val="20"/>
          <w:szCs w:val="20"/>
        </w:rPr>
        <w:t>Comparative study on similarities and differences of teaching and learning process in primary schools in Indonesia and Uzbekistan</w:t>
      </w:r>
      <w:r w:rsidRPr="003B209D">
        <w:rPr>
          <w:rFonts w:ascii="Times New Roman" w:hAnsi="Times New Roman"/>
          <w:noProof/>
          <w:sz w:val="20"/>
          <w:szCs w:val="20"/>
        </w:rPr>
        <w:t xml:space="preserve"> (1st ed.) [Repository Universitas Pendidikan Indonesia]. https://doi.org/10.13140/RG.2.2.25852.28806</w:t>
      </w:r>
      <w:r w:rsidRPr="003B209D">
        <w:rPr>
          <w:rFonts w:ascii="Times New Roman" w:hAnsi="Times New Roman"/>
          <w:sz w:val="20"/>
          <w:szCs w:val="20"/>
        </w:rPr>
        <w:fldChar w:fldCharType="end"/>
      </w:r>
    </w:p>
    <w:p w14:paraId="33A7090E"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sz w:val="20"/>
          <w:szCs w:val="20"/>
        </w:rPr>
      </w:pPr>
      <w:r w:rsidRPr="003B209D">
        <w:rPr>
          <w:rFonts w:ascii="Times New Roman" w:hAnsi="Times New Roman"/>
          <w:sz w:val="20"/>
          <w:szCs w:val="20"/>
        </w:rPr>
        <w:fldChar w:fldCharType="begin" w:fldLock="1"/>
      </w:r>
      <w:r w:rsidRPr="003B209D">
        <w:rPr>
          <w:rFonts w:ascii="Times New Roman" w:hAnsi="Times New Roman"/>
          <w:sz w:val="20"/>
          <w:szCs w:val="20"/>
        </w:rPr>
        <w:instrText xml:space="preserve">ADDIN Mendeley Bibliography CSL_BIBLIOGRAPHY </w:instrText>
      </w:r>
      <w:r w:rsidRPr="003B209D">
        <w:rPr>
          <w:rFonts w:ascii="Times New Roman" w:hAnsi="Times New Roman"/>
          <w:sz w:val="20"/>
          <w:szCs w:val="20"/>
        </w:rPr>
        <w:fldChar w:fldCharType="separate"/>
      </w:r>
      <w:r w:rsidRPr="003B209D">
        <w:rPr>
          <w:rFonts w:ascii="Times New Roman" w:hAnsi="Times New Roman"/>
          <w:noProof/>
          <w:sz w:val="20"/>
          <w:szCs w:val="20"/>
        </w:rPr>
        <w:t xml:space="preserve">Shaturaev, J. (2021). A Comparative Analysis of Public Education System of Indonesia and Uzbekistan. </w:t>
      </w:r>
      <w:r w:rsidRPr="003B209D">
        <w:rPr>
          <w:rFonts w:ascii="Times New Roman" w:hAnsi="Times New Roman"/>
          <w:i/>
          <w:iCs/>
          <w:noProof/>
          <w:sz w:val="20"/>
          <w:szCs w:val="20"/>
        </w:rPr>
        <w:t>Bioscience Biotechnology Research Communications</w:t>
      </w:r>
      <w:r w:rsidRPr="003B209D">
        <w:rPr>
          <w:rFonts w:ascii="Times New Roman" w:hAnsi="Times New Roman"/>
          <w:noProof/>
          <w:sz w:val="20"/>
          <w:szCs w:val="20"/>
        </w:rPr>
        <w:t xml:space="preserve">, </w:t>
      </w:r>
      <w:r w:rsidRPr="003B209D">
        <w:rPr>
          <w:rFonts w:ascii="Times New Roman" w:hAnsi="Times New Roman"/>
          <w:i/>
          <w:iCs/>
          <w:noProof/>
          <w:sz w:val="20"/>
          <w:szCs w:val="20"/>
        </w:rPr>
        <w:t>14</w:t>
      </w:r>
      <w:r w:rsidRPr="003B209D">
        <w:rPr>
          <w:rFonts w:ascii="Times New Roman" w:hAnsi="Times New Roman"/>
          <w:noProof/>
          <w:sz w:val="20"/>
          <w:szCs w:val="20"/>
        </w:rPr>
        <w:t>(Special Issue (5)), 89–92. https://doi.org/10.21786/bbrc/14.5/18</w:t>
      </w:r>
      <w:r w:rsidRPr="003B209D">
        <w:rPr>
          <w:rFonts w:ascii="Times New Roman" w:hAnsi="Times New Roman"/>
          <w:sz w:val="20"/>
          <w:szCs w:val="20"/>
        </w:rPr>
        <w:fldChar w:fldCharType="end"/>
      </w:r>
    </w:p>
    <w:p w14:paraId="2F653AA7"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noProof/>
          <w:sz w:val="20"/>
          <w:szCs w:val="20"/>
        </w:rPr>
        <w:t xml:space="preserve">Shaturaev, J. (2021b). Financing and Management of Islamic (Madrasah) Education in Indonesia. </w:t>
      </w:r>
      <w:r w:rsidRPr="003B209D">
        <w:rPr>
          <w:rFonts w:ascii="Times New Roman" w:hAnsi="Times New Roman"/>
          <w:i/>
          <w:iCs/>
          <w:noProof/>
          <w:sz w:val="20"/>
          <w:szCs w:val="20"/>
        </w:rPr>
        <w:t>Zeszyty Naukowe Politechniki Częstochowskiej Zarządzanie</w:t>
      </w:r>
      <w:r w:rsidRPr="003B209D">
        <w:rPr>
          <w:rFonts w:ascii="Times New Roman" w:hAnsi="Times New Roman"/>
          <w:noProof/>
          <w:sz w:val="20"/>
          <w:szCs w:val="20"/>
        </w:rPr>
        <w:t xml:space="preserve">, </w:t>
      </w:r>
      <w:r w:rsidRPr="003B209D">
        <w:rPr>
          <w:rFonts w:ascii="Times New Roman" w:hAnsi="Times New Roman"/>
          <w:i/>
          <w:iCs/>
          <w:noProof/>
          <w:sz w:val="20"/>
          <w:szCs w:val="20"/>
        </w:rPr>
        <w:t>42</w:t>
      </w:r>
      <w:r w:rsidRPr="003B209D">
        <w:rPr>
          <w:rFonts w:ascii="Times New Roman" w:hAnsi="Times New Roman"/>
          <w:noProof/>
          <w:sz w:val="20"/>
          <w:szCs w:val="20"/>
        </w:rPr>
        <w:t xml:space="preserve">(1), 57–65. </w:t>
      </w:r>
      <w:hyperlink r:id="rId9" w:history="1">
        <w:r w:rsidRPr="003B209D">
          <w:rPr>
            <w:rStyle w:val="a3"/>
            <w:rFonts w:ascii="Times New Roman" w:hAnsi="Times New Roman"/>
            <w:noProof/>
            <w:sz w:val="20"/>
            <w:szCs w:val="20"/>
          </w:rPr>
          <w:t>https://doi.org/10.17512/znpcz.2021.2.05</w:t>
        </w:r>
      </w:hyperlink>
    </w:p>
    <w:p w14:paraId="286F5C67"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sz w:val="20"/>
          <w:szCs w:val="20"/>
        </w:rPr>
        <w:fldChar w:fldCharType="begin" w:fldLock="1"/>
      </w:r>
      <w:r w:rsidRPr="003B209D">
        <w:rPr>
          <w:rFonts w:ascii="Times New Roman" w:hAnsi="Times New Roman"/>
          <w:sz w:val="20"/>
          <w:szCs w:val="20"/>
        </w:rPr>
        <w:instrText xml:space="preserve">ADDIN Mendeley Bibliography CSL_BIBLIOGRAPHY </w:instrText>
      </w:r>
      <w:r w:rsidRPr="003B209D">
        <w:rPr>
          <w:rFonts w:ascii="Times New Roman" w:hAnsi="Times New Roman"/>
          <w:sz w:val="20"/>
          <w:szCs w:val="20"/>
        </w:rPr>
        <w:fldChar w:fldCharType="separate"/>
      </w:r>
      <w:r w:rsidRPr="003B209D">
        <w:rPr>
          <w:rFonts w:ascii="Times New Roman" w:hAnsi="Times New Roman"/>
          <w:noProof/>
          <w:sz w:val="20"/>
          <w:szCs w:val="20"/>
        </w:rPr>
        <w:t xml:space="preserve">Shaturaev, J. (2019). the Importance of Handwriting in Education. </w:t>
      </w:r>
      <w:r w:rsidRPr="003B209D">
        <w:rPr>
          <w:rFonts w:ascii="Times New Roman" w:hAnsi="Times New Roman"/>
          <w:i/>
          <w:iCs/>
          <w:noProof/>
          <w:sz w:val="20"/>
          <w:szCs w:val="20"/>
        </w:rPr>
        <w:t>International Journal of Advanced Research</w:t>
      </w:r>
      <w:r w:rsidRPr="003B209D">
        <w:rPr>
          <w:rFonts w:ascii="Times New Roman" w:hAnsi="Times New Roman"/>
          <w:noProof/>
          <w:sz w:val="20"/>
          <w:szCs w:val="20"/>
        </w:rPr>
        <w:t xml:space="preserve">, </w:t>
      </w:r>
      <w:r w:rsidRPr="003B209D">
        <w:rPr>
          <w:rFonts w:ascii="Times New Roman" w:hAnsi="Times New Roman"/>
          <w:i/>
          <w:iCs/>
          <w:noProof/>
          <w:sz w:val="20"/>
          <w:szCs w:val="20"/>
        </w:rPr>
        <w:t>7</w:t>
      </w:r>
      <w:r w:rsidRPr="003B209D">
        <w:rPr>
          <w:rFonts w:ascii="Times New Roman" w:hAnsi="Times New Roman"/>
          <w:noProof/>
          <w:sz w:val="20"/>
          <w:szCs w:val="20"/>
        </w:rPr>
        <w:t>(12), 947–954. https://doi.org/10.21474/ijar01/10237</w:t>
      </w:r>
    </w:p>
    <w:p w14:paraId="626EF5FC"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noProof/>
          <w:sz w:val="20"/>
          <w:szCs w:val="20"/>
        </w:rPr>
        <w:t xml:space="preserve">Shaturaev, J. (2021). a Review of National Education System of Indonesia and Uzbekistan: Structure, Financing, Reforms. </w:t>
      </w:r>
      <w:r w:rsidRPr="003B209D">
        <w:rPr>
          <w:rFonts w:ascii="Times New Roman" w:hAnsi="Times New Roman"/>
          <w:i/>
          <w:iCs/>
          <w:noProof/>
          <w:sz w:val="20"/>
          <w:szCs w:val="20"/>
        </w:rPr>
        <w:t>International Journal of Advanced Research</w:t>
      </w:r>
      <w:r w:rsidRPr="003B209D">
        <w:rPr>
          <w:rFonts w:ascii="Times New Roman" w:hAnsi="Times New Roman"/>
          <w:noProof/>
          <w:sz w:val="20"/>
          <w:szCs w:val="20"/>
        </w:rPr>
        <w:t xml:space="preserve">, </w:t>
      </w:r>
      <w:r w:rsidRPr="003B209D">
        <w:rPr>
          <w:rFonts w:ascii="Times New Roman" w:hAnsi="Times New Roman"/>
          <w:i/>
          <w:iCs/>
          <w:noProof/>
          <w:sz w:val="20"/>
          <w:szCs w:val="20"/>
        </w:rPr>
        <w:t>9</w:t>
      </w:r>
      <w:r w:rsidRPr="003B209D">
        <w:rPr>
          <w:rFonts w:ascii="Times New Roman" w:hAnsi="Times New Roman"/>
          <w:noProof/>
          <w:sz w:val="20"/>
          <w:szCs w:val="20"/>
        </w:rPr>
        <w:t>(02), 461–474. https://doi.org/10.21474/ijar01/12470</w:t>
      </w:r>
    </w:p>
    <w:p w14:paraId="5F4F4A0C" w14:textId="77777777" w:rsid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noProof/>
          <w:sz w:val="20"/>
          <w:szCs w:val="20"/>
        </w:rPr>
        <w:t xml:space="preserve">Shaturaev, J. N., &amp; Jumaev, H. S. (2019). Small Business, Innovation and Entrepreneurship. </w:t>
      </w:r>
      <w:r w:rsidRPr="003B209D">
        <w:rPr>
          <w:rFonts w:ascii="Times New Roman" w:hAnsi="Times New Roman"/>
          <w:i/>
          <w:iCs/>
          <w:noProof/>
          <w:sz w:val="20"/>
          <w:szCs w:val="20"/>
        </w:rPr>
        <w:t>International Journal of Advanced Research</w:t>
      </w:r>
      <w:r w:rsidRPr="003B209D">
        <w:rPr>
          <w:rFonts w:ascii="Times New Roman" w:hAnsi="Times New Roman"/>
          <w:noProof/>
          <w:sz w:val="20"/>
          <w:szCs w:val="20"/>
        </w:rPr>
        <w:t xml:space="preserve">, </w:t>
      </w:r>
      <w:r w:rsidRPr="003B209D">
        <w:rPr>
          <w:rFonts w:ascii="Times New Roman" w:hAnsi="Times New Roman"/>
          <w:i/>
          <w:iCs/>
          <w:noProof/>
          <w:sz w:val="20"/>
          <w:szCs w:val="20"/>
        </w:rPr>
        <w:t>7</w:t>
      </w:r>
      <w:r w:rsidRPr="003B209D">
        <w:rPr>
          <w:rFonts w:ascii="Times New Roman" w:hAnsi="Times New Roman"/>
          <w:noProof/>
          <w:sz w:val="20"/>
          <w:szCs w:val="20"/>
        </w:rPr>
        <w:t>(11), 303–307. https://doi.org/10.21474/ijar01/10008</w:t>
      </w:r>
    </w:p>
    <w:p w14:paraId="09E4E90C" w14:textId="00307D9B" w:rsidR="003B209D" w:rsidRPr="003B209D" w:rsidRDefault="003B209D" w:rsidP="003B209D">
      <w:pPr>
        <w:pStyle w:val="a7"/>
        <w:widowControl w:val="0"/>
        <w:numPr>
          <w:ilvl w:val="0"/>
          <w:numId w:val="7"/>
        </w:numPr>
        <w:tabs>
          <w:tab w:val="left" w:pos="709"/>
        </w:tabs>
        <w:autoSpaceDE w:val="0"/>
        <w:autoSpaceDN w:val="0"/>
        <w:adjustRightInd w:val="0"/>
        <w:spacing w:line="240" w:lineRule="auto"/>
        <w:rPr>
          <w:rFonts w:ascii="Times New Roman" w:hAnsi="Times New Roman"/>
          <w:noProof/>
          <w:sz w:val="20"/>
          <w:szCs w:val="20"/>
        </w:rPr>
      </w:pPr>
      <w:r w:rsidRPr="003B209D">
        <w:rPr>
          <w:rFonts w:ascii="Times New Roman" w:hAnsi="Times New Roman"/>
          <w:sz w:val="20"/>
          <w:szCs w:val="20"/>
        </w:rPr>
        <w:fldChar w:fldCharType="begin" w:fldLock="1"/>
      </w:r>
      <w:r w:rsidRPr="003B209D">
        <w:rPr>
          <w:rFonts w:ascii="Times New Roman" w:hAnsi="Times New Roman"/>
          <w:sz w:val="20"/>
          <w:szCs w:val="20"/>
        </w:rPr>
        <w:instrText xml:space="preserve">ADDIN Mendeley Bibliography CSL_BIBLIOGRAPHY </w:instrText>
      </w:r>
      <w:r w:rsidRPr="003B209D">
        <w:rPr>
          <w:rFonts w:ascii="Times New Roman" w:hAnsi="Times New Roman"/>
          <w:sz w:val="20"/>
          <w:szCs w:val="20"/>
        </w:rPr>
        <w:fldChar w:fldCharType="separate"/>
      </w:r>
      <w:r w:rsidRPr="003B209D">
        <w:rPr>
          <w:rFonts w:ascii="Times New Roman" w:hAnsi="Times New Roman"/>
          <w:noProof/>
          <w:sz w:val="20"/>
          <w:szCs w:val="20"/>
        </w:rPr>
        <w:t xml:space="preserve">Shaturaev, J., Iroda, J., Gulnoza, I., &amp; Madina, R. (2020). Exploration Effects of Handwriting on Children’S Writing Progress. </w:t>
      </w:r>
      <w:r w:rsidRPr="003B209D">
        <w:rPr>
          <w:rFonts w:ascii="Times New Roman" w:hAnsi="Times New Roman"/>
          <w:i/>
          <w:iCs/>
          <w:noProof/>
          <w:sz w:val="20"/>
          <w:szCs w:val="20"/>
        </w:rPr>
        <w:t>International Journal of Advanced Research</w:t>
      </w:r>
      <w:r w:rsidRPr="003B209D">
        <w:rPr>
          <w:rFonts w:ascii="Times New Roman" w:hAnsi="Times New Roman"/>
          <w:noProof/>
          <w:sz w:val="20"/>
          <w:szCs w:val="20"/>
        </w:rPr>
        <w:t xml:space="preserve">, </w:t>
      </w:r>
      <w:r w:rsidRPr="003B209D">
        <w:rPr>
          <w:rFonts w:ascii="Times New Roman" w:hAnsi="Times New Roman"/>
          <w:i/>
          <w:iCs/>
          <w:noProof/>
          <w:sz w:val="20"/>
          <w:szCs w:val="20"/>
        </w:rPr>
        <w:t>8</w:t>
      </w:r>
      <w:r w:rsidRPr="003B209D">
        <w:rPr>
          <w:rFonts w:ascii="Times New Roman" w:hAnsi="Times New Roman"/>
          <w:noProof/>
          <w:sz w:val="20"/>
          <w:szCs w:val="20"/>
        </w:rPr>
        <w:t>(9), 369–376. https://doi.org/10.21474/ijar01/11667</w:t>
      </w:r>
    </w:p>
    <w:p w14:paraId="2DCD292F" w14:textId="77777777" w:rsidR="003B209D" w:rsidRPr="003B209D" w:rsidRDefault="003B209D" w:rsidP="003B209D">
      <w:pPr>
        <w:rPr>
          <w:rFonts w:ascii="Times New Roman" w:hAnsi="Times New Roman" w:cs="Times New Roman"/>
        </w:rPr>
      </w:pPr>
      <w:r w:rsidRPr="003B209D">
        <w:rPr>
          <w:rFonts w:ascii="Times New Roman" w:hAnsi="Times New Roman" w:cs="Times New Roman"/>
        </w:rPr>
        <w:lastRenderedPageBreak/>
        <w:fldChar w:fldCharType="end"/>
      </w:r>
    </w:p>
    <w:p w14:paraId="32B1AFEA" w14:textId="77777777" w:rsidR="003B209D" w:rsidRPr="003B209D" w:rsidRDefault="003B209D" w:rsidP="003B209D">
      <w:pPr>
        <w:widowControl w:val="0"/>
        <w:autoSpaceDE w:val="0"/>
        <w:autoSpaceDN w:val="0"/>
        <w:adjustRightInd w:val="0"/>
        <w:rPr>
          <w:rFonts w:ascii="Times New Roman" w:hAnsi="Times New Roman" w:cs="Times New Roman"/>
          <w:noProof/>
        </w:rPr>
      </w:pPr>
    </w:p>
    <w:p w14:paraId="52628370" w14:textId="65B6748E" w:rsidR="00A972E0" w:rsidRPr="003B209D" w:rsidRDefault="003B209D" w:rsidP="003B209D">
      <w:pPr>
        <w:ind w:left="1170"/>
        <w:jc w:val="both"/>
        <w:rPr>
          <w:rFonts w:ascii="Times New Roman" w:hAnsi="Times New Roman" w:cs="Times New Roman"/>
        </w:rPr>
      </w:pPr>
      <w:r w:rsidRPr="003B209D">
        <w:rPr>
          <w:rFonts w:ascii="Times New Roman" w:hAnsi="Times New Roman" w:cs="Times New Roman"/>
        </w:rPr>
        <w:fldChar w:fldCharType="end"/>
      </w:r>
      <w:bookmarkEnd w:id="0"/>
    </w:p>
    <w:p w14:paraId="285951BB" w14:textId="77777777" w:rsidR="00A972E0" w:rsidRPr="003B209D" w:rsidRDefault="00A972E0" w:rsidP="00A972E0">
      <w:pPr>
        <w:ind w:firstLine="1170"/>
      </w:pPr>
    </w:p>
    <w:p w14:paraId="05A137F2" w14:textId="77777777" w:rsidR="00A972E0" w:rsidRDefault="00A972E0"/>
    <w:sectPr w:rsidR="00A972E0" w:rsidSect="00A972E0">
      <w:pgSz w:w="11906" w:h="16838"/>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1BA3" w14:textId="77777777" w:rsidR="00C3634C" w:rsidRDefault="00C3634C" w:rsidP="00A972E0">
      <w:r>
        <w:separator/>
      </w:r>
    </w:p>
  </w:endnote>
  <w:endnote w:type="continuationSeparator" w:id="0">
    <w:p w14:paraId="2858F95F" w14:textId="77777777" w:rsidR="00C3634C" w:rsidRDefault="00C3634C" w:rsidP="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2225" w14:textId="77777777" w:rsidR="00C3634C" w:rsidRDefault="00C3634C" w:rsidP="00A972E0">
      <w:r>
        <w:separator/>
      </w:r>
    </w:p>
  </w:footnote>
  <w:footnote w:type="continuationSeparator" w:id="0">
    <w:p w14:paraId="1778A6B8" w14:textId="77777777" w:rsidR="00C3634C" w:rsidRDefault="00C3634C" w:rsidP="00A972E0">
      <w:r>
        <w:continuationSeparator/>
      </w:r>
    </w:p>
  </w:footnote>
  <w:footnote w:id="1">
    <w:p w14:paraId="24802C9E"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https://www.wto.org/english/thewto_e/minist_e/mc11_e/mc11_e.htm</w:t>
      </w:r>
    </w:p>
  </w:footnote>
  <w:footnote w:id="2">
    <w:p w14:paraId="643C72D4"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Members of the FIFD group are Argentina, Brazil, Chile, China, Colombia, the Gambia, Hong Kong, Kazakhstan, Liberia, Mexico, Mauritania, Nigeria, Pakistan, Qatar, Republic of Korea and Uruguay.</w:t>
      </w:r>
    </w:p>
  </w:footnote>
  <w:footnote w:id="3">
    <w:p w14:paraId="7E0E0927"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WT/</w:t>
      </w:r>
      <w:proofErr w:type="gramStart"/>
      <w:r w:rsidRPr="006631AA">
        <w:rPr>
          <w:rFonts w:ascii="Times New Roman" w:hAnsi="Times New Roman"/>
        </w:rPr>
        <w:t>MIN(</w:t>
      </w:r>
      <w:proofErr w:type="gramEnd"/>
      <w:r w:rsidRPr="006631AA">
        <w:rPr>
          <w:rFonts w:ascii="Times New Roman" w:hAnsi="Times New Roman"/>
        </w:rPr>
        <w:t>17)/12, https://www.wto.org/english/thewto_e/minist_e/mc11_e/documents_e.htm</w:t>
      </w:r>
    </w:p>
  </w:footnote>
  <w:footnote w:id="4">
    <w:p w14:paraId="7B820AB6"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WT/</w:t>
      </w:r>
      <w:proofErr w:type="gramStart"/>
      <w:r w:rsidRPr="006631AA">
        <w:rPr>
          <w:rFonts w:ascii="Times New Roman" w:hAnsi="Times New Roman"/>
        </w:rPr>
        <w:t>MIN(</w:t>
      </w:r>
      <w:proofErr w:type="gramEnd"/>
      <w:r w:rsidRPr="006631AA">
        <w:rPr>
          <w:rFonts w:ascii="Times New Roman" w:hAnsi="Times New Roman"/>
        </w:rPr>
        <w:t xml:space="preserve">17)/12, para. </w:t>
      </w:r>
      <w:proofErr w:type="gramStart"/>
      <w:r w:rsidRPr="006631AA">
        <w:rPr>
          <w:rFonts w:ascii="Times New Roman" w:hAnsi="Times New Roman"/>
        </w:rPr>
        <w:t>2,https://www.wto.org/english/thewto_e/minist_e/mc11_e/documents_e.htm</w:t>
      </w:r>
      <w:proofErr w:type="gramEnd"/>
    </w:p>
  </w:footnote>
  <w:footnote w:id="5">
    <w:p w14:paraId="46E1D789"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JOB/GC/120, para. 1.3(e), https://docs.wto.org/dol2fe/Pages/FE_Search/FE_S_S001.aspx</w:t>
      </w:r>
    </w:p>
  </w:footnote>
  <w:footnote w:id="6">
    <w:p w14:paraId="61168081"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https://www.wto.org/english/tratop_e/dda_e/dda_e.htm</w:t>
      </w:r>
    </w:p>
  </w:footnote>
  <w:footnote w:id="7">
    <w:p w14:paraId="374CB79F"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http://investmentpolicyhub.unctad.org/Pages/2017-edition-of-unctad-s-high-level-annual-iia-conference-phase-2- of-</w:t>
      </w:r>
      <w:proofErr w:type="spellStart"/>
      <w:r w:rsidRPr="006631AA">
        <w:rPr>
          <w:rFonts w:ascii="Times New Roman" w:hAnsi="Times New Roman"/>
        </w:rPr>
        <w:t>iia</w:t>
      </w:r>
      <w:proofErr w:type="spellEnd"/>
      <w:r w:rsidRPr="006631AA">
        <w:rPr>
          <w:rFonts w:ascii="Times New Roman" w:hAnsi="Times New Roman"/>
        </w:rPr>
        <w:t>-reform</w:t>
      </w:r>
    </w:p>
  </w:footnote>
  <w:footnote w:id="8">
    <w:p w14:paraId="152D11AD"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w:t>
      </w:r>
      <w:proofErr w:type="spellStart"/>
      <w:r w:rsidRPr="006631AA">
        <w:rPr>
          <w:rFonts w:ascii="Times New Roman" w:hAnsi="Times New Roman"/>
        </w:rPr>
        <w:t>eg</w:t>
      </w:r>
      <w:proofErr w:type="spellEnd"/>
      <w:r w:rsidRPr="006631AA">
        <w:rPr>
          <w:rFonts w:ascii="Times New Roman" w:hAnsi="Times New Roman"/>
        </w:rPr>
        <w:t xml:space="preserve"> http://investmentpolicyhub.unctad.org/Publications/Details/148</w:t>
      </w:r>
    </w:p>
  </w:footnote>
  <w:footnote w:id="9">
    <w:p w14:paraId="7D0BD530" w14:textId="77777777" w:rsidR="00A972E0" w:rsidRPr="006631AA" w:rsidRDefault="00A972E0" w:rsidP="00A972E0">
      <w:pPr>
        <w:pStyle w:val="a4"/>
        <w:jc w:val="both"/>
        <w:rPr>
          <w:rFonts w:ascii="Times New Roman" w:hAnsi="Times New Roman"/>
        </w:rPr>
      </w:pPr>
      <w:r w:rsidRPr="006631AA">
        <w:rPr>
          <w:rStyle w:val="a6"/>
          <w:rFonts w:ascii="Times New Roman" w:hAnsi="Times New Roman"/>
        </w:rPr>
        <w:footnoteRef/>
      </w:r>
      <w:r w:rsidRPr="006631AA">
        <w:rPr>
          <w:rFonts w:ascii="Times New Roman" w:hAnsi="Times New Roman"/>
        </w:rPr>
        <w:t xml:space="preserve"> http://www.unis.unvienna.org/unis/en/pressrels/2017/unisl257.html</w:t>
      </w:r>
    </w:p>
  </w:footnote>
  <w:footnote w:id="10">
    <w:p w14:paraId="49FE8D3F" w14:textId="77777777" w:rsidR="00A972E0" w:rsidRPr="00C03312" w:rsidRDefault="00A972E0" w:rsidP="00A972E0">
      <w:pPr>
        <w:pStyle w:val="a4"/>
        <w:jc w:val="both"/>
        <w:rPr>
          <w:rFonts w:ascii="Times New Roman" w:hAnsi="Times New Roman"/>
          <w:sz w:val="24"/>
          <w:szCs w:val="24"/>
        </w:rPr>
      </w:pPr>
      <w:r w:rsidRPr="006631AA">
        <w:rPr>
          <w:rStyle w:val="a6"/>
          <w:rFonts w:ascii="Times New Roman" w:hAnsi="Times New Roman"/>
        </w:rPr>
        <w:footnoteRef/>
      </w:r>
      <w:r w:rsidRPr="006631AA">
        <w:rPr>
          <w:rFonts w:ascii="Times New Roman" w:hAnsi="Times New Roman"/>
        </w:rPr>
        <w:t>http://trade.ec.europa.eu/doclib/press/index.cfm?id=1608</w:t>
      </w:r>
    </w:p>
  </w:footnote>
  <w:footnote w:id="11">
    <w:p w14:paraId="457D78A3"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https://web.archive.org/web/20120214110423/http://www.gppi.net/fileadmin/gppi/Tieleman_MAI_GPP_Network. pdf</w:t>
      </w:r>
    </w:p>
  </w:footnote>
  <w:footnote w:id="12">
    <w:p w14:paraId="7989DB61"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http://unctad.org/en/PublicationsLibrary/ecidc2013misc1_bp8.pdf</w:t>
      </w:r>
    </w:p>
  </w:footnote>
  <w:footnote w:id="13">
    <w:p w14:paraId="38B21418"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w:t>
      </w:r>
      <w:hyperlink r:id="rId1" w:history="1">
        <w:r w:rsidRPr="00A95A9A">
          <w:rPr>
            <w:rStyle w:val="a3"/>
            <w:rFonts w:ascii="Times New Roman" w:hAnsi="Times New Roman"/>
          </w:rPr>
          <w:t>http://wtocentre.iift.ac.in/workingpaper/woriking%20paper%2036.pdf</w:t>
        </w:r>
      </w:hyperlink>
    </w:p>
    <w:p w14:paraId="22B9C04D" w14:textId="77777777" w:rsidR="00A972E0" w:rsidRPr="00C03312" w:rsidRDefault="00A972E0" w:rsidP="00A972E0">
      <w:pPr>
        <w:pStyle w:val="a4"/>
        <w:jc w:val="both"/>
        <w:rPr>
          <w:rFonts w:ascii="Times New Roman" w:hAnsi="Times New Roman"/>
          <w:sz w:val="24"/>
          <w:szCs w:val="24"/>
        </w:rPr>
      </w:pPr>
    </w:p>
  </w:footnote>
  <w:footnote w:id="14">
    <w:p w14:paraId="4B130CCF"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JOB/GC/97/Rev.3 from https://docs.wto.org/dol2fe/Pages/FE_Search/FE_S_S001.aspx</w:t>
      </w:r>
    </w:p>
  </w:footnote>
  <w:footnote w:id="15">
    <w:p w14:paraId="34DF3BF0" w14:textId="77777777" w:rsidR="00A972E0" w:rsidRPr="00A95A9A" w:rsidRDefault="00A972E0" w:rsidP="00A972E0">
      <w:pPr>
        <w:pStyle w:val="a4"/>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https://www.whitehouse.gov/the-press-office/2017/11/10/remarks-president-trump-apec-ceo-summit-da-nangvietnam</w:t>
      </w:r>
    </w:p>
  </w:footnote>
  <w:footnote w:id="16">
    <w:p w14:paraId="730B3EC0" w14:textId="77777777" w:rsidR="00A972E0" w:rsidRPr="00C03312" w:rsidRDefault="00A972E0" w:rsidP="00A972E0">
      <w:pPr>
        <w:pStyle w:val="a4"/>
        <w:jc w:val="both"/>
        <w:rPr>
          <w:rFonts w:ascii="Times New Roman" w:hAnsi="Times New Roman"/>
          <w:sz w:val="24"/>
          <w:szCs w:val="24"/>
        </w:rPr>
      </w:pPr>
      <w:r w:rsidRPr="00A95A9A">
        <w:rPr>
          <w:rStyle w:val="a6"/>
        </w:rPr>
        <w:footnoteRef/>
      </w:r>
      <w:r w:rsidRPr="00A95A9A">
        <w:rPr>
          <w:rFonts w:ascii="Times New Roman" w:hAnsi="Times New Roman"/>
        </w:rPr>
        <w:t xml:space="preserve"> JOB/GC/120 from https://docs.wto.org/dol2fe/Pages/FE_Search/FE_S_S001.aspx</w:t>
      </w:r>
    </w:p>
  </w:footnote>
  <w:footnote w:id="17">
    <w:p w14:paraId="1173406B"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http://unctad.org/en/PublicationsLibrary/tdr2014_en.pdf</w:t>
      </w:r>
    </w:p>
  </w:footnote>
  <w:footnote w:id="18">
    <w:p w14:paraId="0D7AF54F"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w:t>
      </w:r>
      <w:proofErr w:type="spellStart"/>
      <w:r w:rsidRPr="00A95A9A">
        <w:rPr>
          <w:rFonts w:ascii="Times New Roman" w:hAnsi="Times New Roman"/>
        </w:rPr>
        <w:t>Kusi</w:t>
      </w:r>
      <w:proofErr w:type="spellEnd"/>
      <w:r w:rsidRPr="00A95A9A">
        <w:rPr>
          <w:rFonts w:ascii="Times New Roman" w:hAnsi="Times New Roman"/>
        </w:rPr>
        <w:t xml:space="preserve"> Hornberger, How Much Does Investment Climate Matter? Joseph </w:t>
      </w:r>
      <w:proofErr w:type="spellStart"/>
      <w:r w:rsidRPr="00A95A9A">
        <w:rPr>
          <w:rFonts w:ascii="Times New Roman" w:hAnsi="Times New Roman"/>
        </w:rPr>
        <w:t>Battat</w:t>
      </w:r>
      <w:proofErr w:type="spellEnd"/>
      <w:r w:rsidRPr="00A95A9A">
        <w:rPr>
          <w:rFonts w:ascii="Times New Roman" w:hAnsi="Times New Roman"/>
        </w:rPr>
        <w:t xml:space="preserve">, and Peter </w:t>
      </w:r>
      <w:proofErr w:type="spellStart"/>
      <w:r w:rsidRPr="00A95A9A">
        <w:rPr>
          <w:rFonts w:ascii="Times New Roman" w:hAnsi="Times New Roman"/>
        </w:rPr>
        <w:t>Kusek</w:t>
      </w:r>
      <w:proofErr w:type="spellEnd"/>
      <w:r w:rsidRPr="00A95A9A">
        <w:rPr>
          <w:rFonts w:ascii="Times New Roman" w:hAnsi="Times New Roman"/>
        </w:rPr>
        <w:t xml:space="preserve"> (2011) “Attracting FDI; How Much Does Investment Climate Matter?”, published as World Bank Group- View Point: Public Policy for the Private Sector, available at: http://siteresources.worldbank.org/FINANCIALSECTOR/Resources/327-Attracting-FDI.pdf</w:t>
      </w:r>
    </w:p>
  </w:footnote>
  <w:footnote w:id="19">
    <w:p w14:paraId="41218029"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World Bank. (2003). Global Economic Prospects and the Developing Countries 003: Investing to Unlock Global Opportunities. pp133. Washington DC, World Bank.</w:t>
      </w:r>
    </w:p>
  </w:footnote>
  <w:footnote w:id="20">
    <w:p w14:paraId="3D3E8208"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World Bank. (2003). Global Economic Prospects and the Developing Countries 2003: Investing to Unlock Global Opportunities. pp129. Washington DC, World Bank</w:t>
      </w:r>
    </w:p>
  </w:footnote>
  <w:footnote w:id="21">
    <w:p w14:paraId="220F3E48"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Paulo </w:t>
      </w:r>
      <w:proofErr w:type="spellStart"/>
      <w:r w:rsidRPr="00A95A9A">
        <w:rPr>
          <w:rFonts w:ascii="Times New Roman" w:hAnsi="Times New Roman"/>
        </w:rPr>
        <w:t>Elicha</w:t>
      </w:r>
      <w:proofErr w:type="spellEnd"/>
      <w:r w:rsidRPr="00A95A9A">
        <w:rPr>
          <w:rFonts w:ascii="Times New Roman" w:hAnsi="Times New Roman"/>
        </w:rPr>
        <w:t xml:space="preserve"> </w:t>
      </w:r>
      <w:proofErr w:type="spellStart"/>
      <w:r w:rsidRPr="00A95A9A">
        <w:rPr>
          <w:rFonts w:ascii="Times New Roman" w:hAnsi="Times New Roman"/>
        </w:rPr>
        <w:t>Tembe</w:t>
      </w:r>
      <w:proofErr w:type="spellEnd"/>
      <w:r w:rsidRPr="00A95A9A">
        <w:rPr>
          <w:rFonts w:ascii="Times New Roman" w:hAnsi="Times New Roman"/>
        </w:rPr>
        <w:t xml:space="preserve"> &amp; </w:t>
      </w:r>
      <w:proofErr w:type="spellStart"/>
      <w:r w:rsidRPr="00A95A9A">
        <w:rPr>
          <w:rFonts w:ascii="Times New Roman" w:hAnsi="Times New Roman"/>
        </w:rPr>
        <w:t>Kangning</w:t>
      </w:r>
      <w:proofErr w:type="spellEnd"/>
      <w:r w:rsidRPr="00A95A9A">
        <w:rPr>
          <w:rFonts w:ascii="Times New Roman" w:hAnsi="Times New Roman"/>
        </w:rPr>
        <w:t xml:space="preserve"> Xu (2012) « Attracting Foreign Direct Investment in Developing Countries: Determinants and Policies-A Comparative Study between Mozambique and China”. See also: U.S. Agency for International Development (2005) Foreign Direct Investment: Putting It to Work in Developing Countries. Washington, DC: USAID</w:t>
      </w:r>
    </w:p>
  </w:footnote>
  <w:footnote w:id="22">
    <w:p w14:paraId="3DD50DAC"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UNCTAD. (1999). World Investment Report 1999: Foreign Direct Investment and the Challenge of Development. Geneva, United Nations Conference on Trade and Development.</w:t>
      </w:r>
    </w:p>
  </w:footnote>
  <w:footnote w:id="23">
    <w:p w14:paraId="317A5E32" w14:textId="77777777" w:rsidR="00A972E0" w:rsidRPr="00A95A9A" w:rsidRDefault="00A972E0" w:rsidP="00A972E0">
      <w:pPr>
        <w:pStyle w:val="a4"/>
        <w:jc w:val="both"/>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Figure 2.6a, https://www.unido.org/fileadmin/user_media/Publications/Pub_free/AIS_Report_A4.pdf</w:t>
      </w:r>
    </w:p>
  </w:footnote>
  <w:footnote w:id="24">
    <w:p w14:paraId="3E7C6E6B" w14:textId="77777777" w:rsidR="00A972E0" w:rsidRPr="00A95A9A" w:rsidRDefault="00A972E0" w:rsidP="00A972E0">
      <w:pPr>
        <w:pStyle w:val="a4"/>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http://works.bepress.com/cgi/viewcontent.cgi?article=1007&amp;context=lauge_poulsen and http://papers.ssrn.com/sol3/papers.cfm?abstract_id=1594887</w:t>
      </w:r>
    </w:p>
  </w:footnote>
  <w:footnote w:id="25">
    <w:p w14:paraId="46A4D8EF" w14:textId="77777777" w:rsidR="00A972E0" w:rsidRPr="00A95A9A" w:rsidRDefault="00A972E0" w:rsidP="00A972E0">
      <w:pPr>
        <w:pStyle w:val="a4"/>
        <w:rPr>
          <w:rFonts w:ascii="Times New Roman" w:hAnsi="Times New Roman"/>
        </w:rPr>
      </w:pPr>
      <w:r w:rsidRPr="00A95A9A">
        <w:rPr>
          <w:rStyle w:val="a6"/>
          <w:rFonts w:ascii="Times New Roman" w:hAnsi="Times New Roman"/>
        </w:rPr>
        <w:footnoteRef/>
      </w:r>
      <w:r w:rsidRPr="00A95A9A">
        <w:rPr>
          <w:rFonts w:ascii="Times New Roman" w:hAnsi="Times New Roman"/>
        </w:rPr>
        <w:t xml:space="preserve"> UNCTAD. (2000). A Positive Agenda for Developing Countries: Issues for Future Trade Negotiations. Geneva, United Nations Conference on Trade and Development.</w:t>
      </w:r>
    </w:p>
  </w:footnote>
  <w:footnote w:id="26">
    <w:p w14:paraId="3D232F67" w14:textId="77777777" w:rsidR="00A972E0" w:rsidRPr="00C03312" w:rsidRDefault="00A972E0" w:rsidP="00A972E0">
      <w:pPr>
        <w:pStyle w:val="a4"/>
        <w:jc w:val="both"/>
        <w:rPr>
          <w:rFonts w:ascii="Times New Roman" w:hAnsi="Times New Roman"/>
          <w:sz w:val="24"/>
          <w:szCs w:val="24"/>
        </w:rPr>
      </w:pPr>
      <w:r w:rsidRPr="00A95A9A">
        <w:rPr>
          <w:rStyle w:val="a6"/>
          <w:rFonts w:ascii="Times New Roman" w:hAnsi="Times New Roman"/>
        </w:rPr>
        <w:footnoteRef/>
      </w:r>
      <w:r w:rsidRPr="00A95A9A">
        <w:rPr>
          <w:rFonts w:ascii="Times New Roman" w:hAnsi="Times New Roman"/>
        </w:rPr>
        <w:t xml:space="preserve"> Source: UNCTAD- excluding the estimate for British Virgin Islands.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1E"/>
    <w:multiLevelType w:val="hybridMultilevel"/>
    <w:tmpl w:val="EEC6D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96422"/>
    <w:multiLevelType w:val="hybridMultilevel"/>
    <w:tmpl w:val="81B2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C176B1"/>
    <w:multiLevelType w:val="hybridMultilevel"/>
    <w:tmpl w:val="768C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2B1529"/>
    <w:multiLevelType w:val="hybridMultilevel"/>
    <w:tmpl w:val="09B85588"/>
    <w:lvl w:ilvl="0" w:tplc="D15432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C5206"/>
    <w:multiLevelType w:val="hybridMultilevel"/>
    <w:tmpl w:val="DF00A148"/>
    <w:lvl w:ilvl="0" w:tplc="0409000F">
      <w:start w:val="1"/>
      <w:numFmt w:val="decimal"/>
      <w:lvlText w:val="%1."/>
      <w:lvlJc w:val="left"/>
      <w:pPr>
        <w:ind w:left="2370" w:hanging="360"/>
      </w:p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5" w15:restartNumberingAfterBreak="0">
    <w:nsid w:val="63C835E7"/>
    <w:multiLevelType w:val="hybridMultilevel"/>
    <w:tmpl w:val="20EA1A80"/>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73066"/>
    <w:multiLevelType w:val="hybridMultilevel"/>
    <w:tmpl w:val="E7567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E0"/>
    <w:rsid w:val="00251263"/>
    <w:rsid w:val="002C4F17"/>
    <w:rsid w:val="003644B6"/>
    <w:rsid w:val="003853D8"/>
    <w:rsid w:val="003B209D"/>
    <w:rsid w:val="003B4982"/>
    <w:rsid w:val="003D2E81"/>
    <w:rsid w:val="005527EE"/>
    <w:rsid w:val="00711CF3"/>
    <w:rsid w:val="00863920"/>
    <w:rsid w:val="00A972E0"/>
    <w:rsid w:val="00C234E2"/>
    <w:rsid w:val="00C3634C"/>
    <w:rsid w:val="00CE1192"/>
    <w:rsid w:val="00D00F6B"/>
    <w:rsid w:val="00FA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FB64"/>
  <w15:chartTrackingRefBased/>
  <w15:docId w15:val="{88A88BDB-B290-4BD8-8A40-A9FEF30E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2E0"/>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72E0"/>
    <w:rPr>
      <w:color w:val="0563C1"/>
      <w:u w:val="single"/>
    </w:rPr>
  </w:style>
  <w:style w:type="paragraph" w:styleId="a4">
    <w:name w:val="footnote text"/>
    <w:basedOn w:val="a"/>
    <w:link w:val="a5"/>
    <w:uiPriority w:val="99"/>
    <w:semiHidden/>
    <w:unhideWhenUsed/>
    <w:rsid w:val="00A972E0"/>
    <w:rPr>
      <w:rFonts w:cs="Times New Roman"/>
    </w:rPr>
  </w:style>
  <w:style w:type="character" w:customStyle="1" w:styleId="a5">
    <w:name w:val="Текст сноски Знак"/>
    <w:basedOn w:val="a0"/>
    <w:link w:val="a4"/>
    <w:uiPriority w:val="99"/>
    <w:semiHidden/>
    <w:rsid w:val="00A972E0"/>
    <w:rPr>
      <w:rFonts w:ascii="Calibri" w:eastAsia="Calibri" w:hAnsi="Calibri" w:cs="Times New Roman"/>
      <w:sz w:val="20"/>
      <w:szCs w:val="20"/>
      <w:lang w:val="en-US"/>
    </w:rPr>
  </w:style>
  <w:style w:type="character" w:styleId="a6">
    <w:name w:val="footnote reference"/>
    <w:uiPriority w:val="99"/>
    <w:semiHidden/>
    <w:unhideWhenUsed/>
    <w:rsid w:val="00A972E0"/>
    <w:rPr>
      <w:vertAlign w:val="superscript"/>
    </w:rPr>
  </w:style>
  <w:style w:type="paragraph" w:styleId="a7">
    <w:name w:val="List Paragraph"/>
    <w:basedOn w:val="a"/>
    <w:uiPriority w:val="34"/>
    <w:qFormat/>
    <w:rsid w:val="00A972E0"/>
    <w:pPr>
      <w:spacing w:after="160" w:line="259" w:lineRule="auto"/>
      <w:ind w:left="720"/>
      <w:contextualSpacing/>
    </w:pPr>
    <w:rPr>
      <w:rFonts w:cs="Times New Roman"/>
      <w:sz w:val="22"/>
      <w:szCs w:val="22"/>
    </w:rPr>
  </w:style>
  <w:style w:type="character" w:styleId="a8">
    <w:name w:val="Unresolved Mention"/>
    <w:basedOn w:val="a0"/>
    <w:uiPriority w:val="99"/>
    <w:semiHidden/>
    <w:unhideWhenUsed/>
    <w:rsid w:val="003B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var_6707@tsue.uz" TargetMode="Externa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7512/znpcz.2021.2.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tocentre.iift.ac.in/workingpaper/woriking%20paper%203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10088</Words>
  <Characters>57503</Characters>
  <Application>Microsoft Office Word</Application>
  <DocSecurity>0</DocSecurity>
  <Lines>479</Lines>
  <Paragraphs>134</Paragraphs>
  <ScaleCrop>false</ScaleCrop>
  <Company>SPecialiST RePack</Company>
  <LinksUpToDate>false</LinksUpToDate>
  <CharactersWithSpaces>67457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Gulnora Bekimbetova</dc:creator>
  <cp:keywords/>
  <dc:description/>
  <cp:lastModifiedBy>Jakhongir Shaturaev</cp:lastModifiedBy>
  <cp:revision>2</cp:revision>
  <dcterms:created xsi:type="dcterms:W3CDTF">2021-11-08T18:35:00Z</dcterms:created>
  <dcterms:modified xsi:type="dcterms:W3CDTF">2021-11-08T18:35:00Z</dcterms:modified>
</cp:coreProperties>
</file>